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574C9B" w:rsidRPr="00967366" w14:paraId="4B18B74B" w14:textId="77777777" w:rsidTr="008E4CC5">
        <w:trPr>
          <w:jc w:val="center"/>
        </w:trPr>
        <w:tc>
          <w:tcPr>
            <w:tcW w:w="5000" w:type="pct"/>
            <w:vAlign w:val="center"/>
          </w:tcPr>
          <w:p w14:paraId="4B8F14AB" w14:textId="77777777" w:rsidR="00574C9B" w:rsidRPr="00967366" w:rsidRDefault="00574C9B" w:rsidP="000E4172">
            <w:pPr>
              <w:jc w:val="center"/>
              <w:rPr>
                <w:b/>
                <w:sz w:val="72"/>
                <w:szCs w:val="72"/>
              </w:rPr>
            </w:pPr>
            <w:r>
              <w:rPr>
                <w:b/>
                <w:sz w:val="72"/>
              </w:rPr>
              <w:t>STELLUNGNAHME</w:t>
            </w:r>
          </w:p>
        </w:tc>
      </w:tr>
      <w:tr w:rsidR="00574C9B" w:rsidRPr="00967366" w14:paraId="428F80C1" w14:textId="77777777" w:rsidTr="008E4CC5">
        <w:trPr>
          <w:trHeight w:val="567"/>
          <w:jc w:val="center"/>
        </w:trPr>
        <w:tc>
          <w:tcPr>
            <w:tcW w:w="5000" w:type="pct"/>
            <w:vAlign w:val="center"/>
          </w:tcPr>
          <w:p w14:paraId="0E3C838D" w14:textId="2E0F4618" w:rsidR="00574C9B" w:rsidRPr="00967366" w:rsidRDefault="00574C9B" w:rsidP="000E4172">
            <w:pPr>
              <w:jc w:val="center"/>
              <w:rPr>
                <w:sz w:val="24"/>
                <w:szCs w:val="24"/>
              </w:rPr>
            </w:pPr>
            <w:r>
              <w:rPr>
                <w:sz w:val="24"/>
              </w:rPr>
              <w:t>Europäischer Wirtschafts- und Sozialausschuss</w:t>
            </w:r>
          </w:p>
        </w:tc>
      </w:tr>
      <w:tr w:rsidR="00574C9B" w:rsidRPr="00967366" w14:paraId="5FCA7EB1" w14:textId="77777777" w:rsidTr="008E4CC5">
        <w:trPr>
          <w:jc w:val="center"/>
        </w:trPr>
        <w:tc>
          <w:tcPr>
            <w:tcW w:w="5000" w:type="pct"/>
            <w:vAlign w:val="center"/>
          </w:tcPr>
          <w:p w14:paraId="164B3F5D" w14:textId="007D8D12" w:rsidR="00574C9B" w:rsidRPr="00967366" w:rsidRDefault="007F2421" w:rsidP="000E4172">
            <w:pPr>
              <w:jc w:val="center"/>
              <w:rPr>
                <w:b/>
                <w:sz w:val="44"/>
                <w:szCs w:val="44"/>
              </w:rPr>
            </w:pPr>
            <w:r>
              <w:rPr>
                <w:b/>
                <w:sz w:val="44"/>
              </w:rPr>
              <w:t>Mehrjähriger Finanzrahmen 2028</w:t>
            </w:r>
            <w:r w:rsidR="002D29BF">
              <w:rPr>
                <w:b/>
                <w:sz w:val="44"/>
              </w:rPr>
              <w:t>–</w:t>
            </w:r>
            <w:r>
              <w:rPr>
                <w:b/>
                <w:sz w:val="44"/>
              </w:rPr>
              <w:t>2034</w:t>
            </w:r>
          </w:p>
        </w:tc>
      </w:tr>
      <w:tr w:rsidR="00574C9B" w:rsidRPr="00967366" w14:paraId="0A2CA787" w14:textId="77777777" w:rsidTr="008E4CC5">
        <w:trPr>
          <w:jc w:val="center"/>
        </w:trPr>
        <w:tc>
          <w:tcPr>
            <w:tcW w:w="5000" w:type="pct"/>
            <w:vAlign w:val="center"/>
          </w:tcPr>
          <w:p w14:paraId="766B3712" w14:textId="77777777" w:rsidR="00574C9B" w:rsidRPr="00967366" w:rsidRDefault="00574C9B" w:rsidP="000E4172">
            <w:pPr>
              <w:overflowPunct w:val="0"/>
              <w:autoSpaceDE w:val="0"/>
              <w:autoSpaceDN w:val="0"/>
              <w:adjustRightInd w:val="0"/>
              <w:jc w:val="center"/>
              <w:textAlignment w:val="baseline"/>
              <w:rPr>
                <w:b/>
                <w:position w:val="24"/>
                <w:sz w:val="24"/>
                <w:szCs w:val="24"/>
              </w:rPr>
            </w:pPr>
            <w:r>
              <w:rPr>
                <w:sz w:val="24"/>
              </w:rPr>
              <w:t>_____________</w:t>
            </w:r>
          </w:p>
        </w:tc>
      </w:tr>
      <w:tr w:rsidR="00574C9B" w:rsidRPr="00967366" w14:paraId="651BE820" w14:textId="77777777" w:rsidTr="008E4CC5">
        <w:trPr>
          <w:jc w:val="center"/>
        </w:trPr>
        <w:tc>
          <w:tcPr>
            <w:tcW w:w="5000" w:type="pct"/>
            <w:vAlign w:val="center"/>
          </w:tcPr>
          <w:p w14:paraId="27988C28" w14:textId="77777777" w:rsidR="007F2421" w:rsidRPr="00967366" w:rsidRDefault="007F2421" w:rsidP="000E4172">
            <w:pPr>
              <w:jc w:val="center"/>
              <w:rPr>
                <w:sz w:val="24"/>
                <w:szCs w:val="24"/>
              </w:rPr>
            </w:pPr>
            <w:r>
              <w:rPr>
                <w:sz w:val="24"/>
              </w:rPr>
              <w:t>Mitteilung der Kommission an das Europäische Parlament, den Europäischen Rat, den Rat, den Europäischen Wirtschafts- und Sozialausschuss und den Ausschuss der Regionen:</w:t>
            </w:r>
          </w:p>
          <w:p w14:paraId="6E238E6D" w14:textId="44DD82D5" w:rsidR="00574C9B" w:rsidRPr="00967366" w:rsidRDefault="007F2421" w:rsidP="000E4172">
            <w:pPr>
              <w:jc w:val="center"/>
              <w:rPr>
                <w:sz w:val="24"/>
                <w:szCs w:val="24"/>
              </w:rPr>
            </w:pPr>
            <w:r>
              <w:rPr>
                <w:sz w:val="24"/>
              </w:rPr>
              <w:t>Ein dynamischer EU-Haushalt für die Prioritäten der Zukunft – der Mehrjährige Finanzrahmen 2028-2034</w:t>
            </w:r>
            <w:r>
              <w:br/>
              <w:t>COM(2025) 570 final.</w:t>
            </w:r>
          </w:p>
        </w:tc>
      </w:tr>
      <w:tr w:rsidR="00574C9B" w:rsidRPr="00967366" w14:paraId="295584EE" w14:textId="77777777" w:rsidTr="008E4CC5">
        <w:trPr>
          <w:jc w:val="center"/>
        </w:trPr>
        <w:tc>
          <w:tcPr>
            <w:tcW w:w="5000" w:type="pct"/>
            <w:vAlign w:val="center"/>
          </w:tcPr>
          <w:p w14:paraId="7AA50FA1" w14:textId="77777777" w:rsidR="00574C9B" w:rsidRPr="00967366" w:rsidRDefault="00574C9B" w:rsidP="000E4172">
            <w:pPr>
              <w:jc w:val="center"/>
              <w:rPr>
                <w:sz w:val="24"/>
                <w:szCs w:val="24"/>
                <w:lang w:val="en-GB"/>
              </w:rPr>
            </w:pPr>
          </w:p>
        </w:tc>
      </w:tr>
      <w:tr w:rsidR="00574C9B" w:rsidRPr="00967366" w14:paraId="41F47321" w14:textId="77777777" w:rsidTr="008E4CC5">
        <w:trPr>
          <w:jc w:val="center"/>
        </w:trPr>
        <w:tc>
          <w:tcPr>
            <w:tcW w:w="5000" w:type="pct"/>
            <w:vAlign w:val="center"/>
          </w:tcPr>
          <w:p w14:paraId="50D97899" w14:textId="7406D007" w:rsidR="00574C9B" w:rsidRPr="00967366" w:rsidRDefault="007F2421" w:rsidP="000E4172">
            <w:pPr>
              <w:jc w:val="center"/>
              <w:rPr>
                <w:b/>
                <w:sz w:val="24"/>
                <w:szCs w:val="24"/>
              </w:rPr>
            </w:pPr>
            <w:r>
              <w:rPr>
                <w:b/>
                <w:sz w:val="24"/>
              </w:rPr>
              <w:t>ECO/682</w:t>
            </w:r>
          </w:p>
        </w:tc>
      </w:tr>
      <w:tr w:rsidR="00574C9B" w:rsidRPr="00967366" w14:paraId="2110FDEB" w14:textId="77777777" w:rsidTr="008E4CC5">
        <w:trPr>
          <w:jc w:val="center"/>
        </w:trPr>
        <w:tc>
          <w:tcPr>
            <w:tcW w:w="5000" w:type="pct"/>
            <w:vAlign w:val="center"/>
          </w:tcPr>
          <w:p w14:paraId="59F181E4" w14:textId="77777777" w:rsidR="00574C9B" w:rsidRPr="00967366" w:rsidRDefault="00574C9B" w:rsidP="000E4172">
            <w:pPr>
              <w:jc w:val="center"/>
              <w:rPr>
                <w:sz w:val="24"/>
                <w:szCs w:val="24"/>
                <w:lang w:val="en-GB"/>
              </w:rPr>
            </w:pPr>
          </w:p>
        </w:tc>
      </w:tr>
      <w:tr w:rsidR="00574C9B" w:rsidRPr="00967366" w14:paraId="5DF7EBEA" w14:textId="77777777" w:rsidTr="008E4CC5">
        <w:trPr>
          <w:jc w:val="center"/>
        </w:trPr>
        <w:tc>
          <w:tcPr>
            <w:tcW w:w="5000" w:type="pct"/>
            <w:vAlign w:val="center"/>
          </w:tcPr>
          <w:p w14:paraId="364B1EC1" w14:textId="77777777" w:rsidR="007F2421" w:rsidRPr="000E4172" w:rsidRDefault="007F2421" w:rsidP="000E4172">
            <w:pPr>
              <w:jc w:val="center"/>
              <w:rPr>
                <w:sz w:val="24"/>
                <w:szCs w:val="24"/>
              </w:rPr>
            </w:pPr>
            <w:r>
              <w:rPr>
                <w:sz w:val="24"/>
              </w:rPr>
              <w:t xml:space="preserve">Berichterstatterin: </w:t>
            </w:r>
            <w:r>
              <w:rPr>
                <w:b/>
                <w:sz w:val="24"/>
              </w:rPr>
              <w:t>Dominika BIEGON</w:t>
            </w:r>
          </w:p>
          <w:p w14:paraId="7AE793D3" w14:textId="77777777" w:rsidR="007F2421" w:rsidRPr="000E4172" w:rsidRDefault="007F2421" w:rsidP="000E4172">
            <w:pPr>
              <w:jc w:val="center"/>
              <w:rPr>
                <w:sz w:val="24"/>
                <w:szCs w:val="24"/>
              </w:rPr>
            </w:pPr>
            <w:r>
              <w:rPr>
                <w:sz w:val="24"/>
              </w:rPr>
              <w:t xml:space="preserve">Berichterstatter: </w:t>
            </w:r>
            <w:r>
              <w:rPr>
                <w:b/>
                <w:sz w:val="24"/>
              </w:rPr>
              <w:t>Konstantinos DIAMANTOUROS</w:t>
            </w:r>
          </w:p>
          <w:p w14:paraId="23E9DE0A" w14:textId="211F01F6" w:rsidR="00574C9B" w:rsidRPr="00967366" w:rsidRDefault="007F2421" w:rsidP="000E4172">
            <w:pPr>
              <w:jc w:val="center"/>
              <w:rPr>
                <w:sz w:val="24"/>
                <w:szCs w:val="24"/>
              </w:rPr>
            </w:pPr>
            <w:r>
              <w:rPr>
                <w:sz w:val="24"/>
              </w:rPr>
              <w:t xml:space="preserve">Berichterstatter: </w:t>
            </w:r>
            <w:r>
              <w:rPr>
                <w:b/>
                <w:sz w:val="24"/>
              </w:rPr>
              <w:t>Luca JAHIER</w:t>
            </w:r>
          </w:p>
        </w:tc>
      </w:tr>
    </w:tbl>
    <w:p w14:paraId="0B225863" w14:textId="77777777" w:rsidR="00574C9B" w:rsidRPr="00967366" w:rsidRDefault="00574C9B" w:rsidP="000E4172">
      <w:r>
        <w:rPr>
          <w:noProof/>
          <w:sz w:val="20"/>
        </w:rPr>
        <mc:AlternateContent>
          <mc:Choice Requires="wps">
            <w:drawing>
              <wp:anchor distT="0" distB="0" distL="114300" distR="114300" simplePos="0" relativeHeight="251659264" behindDoc="1" locked="0" layoutInCell="0" allowOverlap="1" wp14:anchorId="3735E109" wp14:editId="3357AC0E">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00903" w14:textId="77777777" w:rsidR="00574C9B" w:rsidRDefault="00574C9B" w:rsidP="00574C9B">
                            <w:pPr>
                              <w:jc w:val="cente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5E109"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o:allowincell="f" filled="f" stroked="f">
                <v:textbox>
                  <w:txbxContent>
                    <w:p w14:paraId="03B00903" w14:textId="77777777" w:rsidR="00574C9B" w:rsidRDefault="00574C9B" w:rsidP="00574C9B">
                      <w:pPr>
                        <w:jc w:val="center"/>
                      </w:pPr>
                      <w:r>
                        <w:rPr>
                          <w:rFonts w:ascii="Arial" w:hAnsi="Arial"/>
                          <w:b/>
                          <w:sz w:val="48"/>
                        </w:rPr>
                        <w:t>DE</w:t>
                      </w:r>
                    </w:p>
                  </w:txbxContent>
                </v:textbox>
                <w10:wrap anchorx="margin" anchory="page"/>
              </v:shape>
            </w:pict>
          </mc:Fallback>
        </mc:AlternateContent>
      </w:r>
    </w:p>
    <w:p w14:paraId="3FA5826A" w14:textId="77777777" w:rsidR="00574C9B" w:rsidRPr="00967366" w:rsidRDefault="00574C9B" w:rsidP="000E4172">
      <w:pPr>
        <w:rPr>
          <w:lang w:val="en-GB"/>
        </w:rPr>
      </w:pPr>
    </w:p>
    <w:p w14:paraId="4B88FC0A" w14:textId="77777777" w:rsidR="00574C9B" w:rsidRPr="00967366" w:rsidRDefault="00574C9B" w:rsidP="000E4172">
      <w:pPr>
        <w:rPr>
          <w:lang w:val="en-GB"/>
        </w:rPr>
        <w:sectPr w:rsidR="00574C9B" w:rsidRPr="00967366" w:rsidSect="00EB177F">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4077"/>
        <w:gridCol w:w="5212"/>
      </w:tblGrid>
      <w:tr w:rsidR="00914683" w:rsidRPr="000E4172" w14:paraId="3380D050" w14:textId="77777777" w:rsidTr="002D29BF">
        <w:tc>
          <w:tcPr>
            <w:tcW w:w="4077" w:type="dxa"/>
          </w:tcPr>
          <w:p w14:paraId="51BED169" w14:textId="36B6C912" w:rsidR="00914683" w:rsidRPr="00967366" w:rsidRDefault="00967366" w:rsidP="000E4172">
            <w:pPr>
              <w:autoSpaceDE w:val="0"/>
              <w:autoSpaceDN w:val="0"/>
              <w:jc w:val="left"/>
              <w:rPr>
                <w:szCs w:val="20"/>
              </w:rPr>
            </w:pPr>
            <w:r>
              <w:lastRenderedPageBreak/>
              <w:t>Beraterinnen</w:t>
            </w:r>
          </w:p>
        </w:tc>
        <w:tc>
          <w:tcPr>
            <w:tcW w:w="5212" w:type="dxa"/>
            <w:vAlign w:val="bottom"/>
          </w:tcPr>
          <w:p w14:paraId="30028365" w14:textId="77777777" w:rsidR="007F2421" w:rsidRPr="000E4172" w:rsidRDefault="007F2421" w:rsidP="000E4172">
            <w:pPr>
              <w:autoSpaceDE w:val="0"/>
              <w:autoSpaceDN w:val="0"/>
              <w:jc w:val="left"/>
            </w:pPr>
            <w:r>
              <w:t>Anna COLOMBO (für den Berichterstatter Luca JAHIER)</w:t>
            </w:r>
          </w:p>
          <w:p w14:paraId="6B779673" w14:textId="77777777" w:rsidR="007F2421" w:rsidRPr="000E4172" w:rsidRDefault="007F2421" w:rsidP="000E4172">
            <w:pPr>
              <w:autoSpaceDE w:val="0"/>
              <w:autoSpaceDN w:val="0"/>
              <w:jc w:val="left"/>
            </w:pPr>
            <w:r>
              <w:t>Sonja HENNEN (für die Berichterstatterin Dominika BIEGON)</w:t>
            </w:r>
          </w:p>
          <w:p w14:paraId="207494E5" w14:textId="65D3B508" w:rsidR="00914683" w:rsidRPr="000E4172" w:rsidRDefault="007F2421" w:rsidP="000E4172">
            <w:pPr>
              <w:autoSpaceDE w:val="0"/>
              <w:autoSpaceDN w:val="0"/>
              <w:jc w:val="left"/>
            </w:pPr>
            <w:r>
              <w:t>Eleonora TRENTO (für den Berichterstatter Konstantinos DIAMANTOUROS)</w:t>
            </w:r>
          </w:p>
        </w:tc>
      </w:tr>
      <w:tr w:rsidR="00914683" w:rsidRPr="000E4172" w14:paraId="64074C63" w14:textId="77777777" w:rsidTr="002D29BF">
        <w:tc>
          <w:tcPr>
            <w:tcW w:w="4077" w:type="dxa"/>
          </w:tcPr>
          <w:p w14:paraId="51393BC8" w14:textId="77777777" w:rsidR="00914683" w:rsidRPr="000E4172" w:rsidRDefault="00914683" w:rsidP="000E4172">
            <w:pPr>
              <w:autoSpaceDE w:val="0"/>
              <w:autoSpaceDN w:val="0"/>
              <w:jc w:val="left"/>
              <w:rPr>
                <w:szCs w:val="20"/>
                <w:lang w:val="it-IT"/>
              </w:rPr>
            </w:pPr>
          </w:p>
        </w:tc>
        <w:tc>
          <w:tcPr>
            <w:tcW w:w="5212" w:type="dxa"/>
            <w:vAlign w:val="bottom"/>
          </w:tcPr>
          <w:p w14:paraId="1BB75A13" w14:textId="77777777" w:rsidR="00914683" w:rsidRPr="000E4172" w:rsidRDefault="00914683" w:rsidP="000E4172">
            <w:pPr>
              <w:autoSpaceDE w:val="0"/>
              <w:autoSpaceDN w:val="0"/>
              <w:jc w:val="left"/>
              <w:rPr>
                <w:lang w:val="it-IT"/>
              </w:rPr>
            </w:pPr>
          </w:p>
        </w:tc>
      </w:tr>
      <w:tr w:rsidR="00FB1D7A" w:rsidRPr="00967366" w14:paraId="5AE03416" w14:textId="77777777" w:rsidTr="002D29BF">
        <w:tc>
          <w:tcPr>
            <w:tcW w:w="4077" w:type="dxa"/>
          </w:tcPr>
          <w:p w14:paraId="23BFBA33" w14:textId="0089298D" w:rsidR="00FB1D7A" w:rsidRPr="00967366" w:rsidRDefault="00FB1D7A" w:rsidP="000E4172">
            <w:pPr>
              <w:autoSpaceDE w:val="0"/>
              <w:autoSpaceDN w:val="0"/>
              <w:jc w:val="left"/>
              <w:rPr>
                <w:szCs w:val="20"/>
              </w:rPr>
            </w:pPr>
            <w:r>
              <w:t>Befassung</w:t>
            </w:r>
          </w:p>
        </w:tc>
        <w:tc>
          <w:tcPr>
            <w:tcW w:w="5212" w:type="dxa"/>
            <w:vAlign w:val="bottom"/>
          </w:tcPr>
          <w:p w14:paraId="0D56ED74" w14:textId="4746D998" w:rsidR="00FB1D7A" w:rsidRPr="00967366" w:rsidRDefault="007F2421" w:rsidP="000E4172">
            <w:pPr>
              <w:autoSpaceDE w:val="0"/>
              <w:autoSpaceDN w:val="0"/>
              <w:jc w:val="left"/>
            </w:pPr>
            <w:r>
              <w:t>Europäische Kommission, 29/8/2025</w:t>
            </w:r>
          </w:p>
        </w:tc>
      </w:tr>
      <w:tr w:rsidR="00AC5114" w:rsidRPr="00967366" w14:paraId="46C189AE" w14:textId="77777777" w:rsidTr="002D29BF">
        <w:tc>
          <w:tcPr>
            <w:tcW w:w="4077" w:type="dxa"/>
          </w:tcPr>
          <w:p w14:paraId="2DA32C67" w14:textId="77777777" w:rsidR="00AC5114" w:rsidRPr="00967366" w:rsidRDefault="00AC5114" w:rsidP="000E4172">
            <w:pPr>
              <w:autoSpaceDE w:val="0"/>
              <w:autoSpaceDN w:val="0"/>
              <w:jc w:val="left"/>
              <w:rPr>
                <w:szCs w:val="20"/>
              </w:rPr>
            </w:pPr>
            <w:r>
              <w:t>Rechtsgrundlage</w:t>
            </w:r>
          </w:p>
        </w:tc>
        <w:tc>
          <w:tcPr>
            <w:tcW w:w="5212" w:type="dxa"/>
            <w:vAlign w:val="bottom"/>
          </w:tcPr>
          <w:p w14:paraId="67EB3E4A" w14:textId="5771DCB2" w:rsidR="00AC5114" w:rsidRPr="00967366" w:rsidRDefault="00AC5114" w:rsidP="000E4172">
            <w:pPr>
              <w:autoSpaceDE w:val="0"/>
              <w:autoSpaceDN w:val="0"/>
              <w:jc w:val="left"/>
              <w:rPr>
                <w:szCs w:val="20"/>
              </w:rPr>
            </w:pPr>
            <w:r>
              <w:t>Artikel 304 des Vertrags über die Arbeitsweise der Union</w:t>
            </w:r>
          </w:p>
        </w:tc>
      </w:tr>
      <w:tr w:rsidR="00AC5114" w:rsidRPr="00967366" w14:paraId="0E2099A6" w14:textId="77777777" w:rsidTr="002D29BF">
        <w:tc>
          <w:tcPr>
            <w:tcW w:w="4077" w:type="dxa"/>
          </w:tcPr>
          <w:p w14:paraId="0BC68BA5" w14:textId="77777777" w:rsidR="00AC5114" w:rsidRPr="00967366" w:rsidRDefault="00AC5114" w:rsidP="000E4172">
            <w:pPr>
              <w:autoSpaceDE w:val="0"/>
              <w:autoSpaceDN w:val="0"/>
              <w:jc w:val="left"/>
            </w:pPr>
            <w:r>
              <w:t>Zuständiges Arbeitsorgan</w:t>
            </w:r>
          </w:p>
        </w:tc>
        <w:tc>
          <w:tcPr>
            <w:tcW w:w="5212" w:type="dxa"/>
            <w:vAlign w:val="bottom"/>
          </w:tcPr>
          <w:p w14:paraId="5AE7EA9E" w14:textId="15F30296" w:rsidR="00AC5114" w:rsidRPr="00967366" w:rsidRDefault="007F2421" w:rsidP="000E4172">
            <w:pPr>
              <w:autoSpaceDE w:val="0"/>
              <w:autoSpaceDN w:val="0"/>
              <w:jc w:val="left"/>
            </w:pPr>
            <w:r>
              <w:t>Fachgruppe Wirtschafts- und Währungsunion, wirtschaftlicher und sozialer Zusammenhalt</w:t>
            </w:r>
          </w:p>
        </w:tc>
      </w:tr>
      <w:tr w:rsidR="00AC5114" w:rsidRPr="00967366" w14:paraId="53972E32" w14:textId="77777777" w:rsidTr="002D29BF">
        <w:tc>
          <w:tcPr>
            <w:tcW w:w="4077" w:type="dxa"/>
          </w:tcPr>
          <w:p w14:paraId="13B33E83" w14:textId="77777777" w:rsidR="00AC5114" w:rsidRPr="00967366" w:rsidRDefault="00AC5114" w:rsidP="000E4172">
            <w:pPr>
              <w:autoSpaceDE w:val="0"/>
              <w:autoSpaceDN w:val="0"/>
              <w:jc w:val="left"/>
            </w:pPr>
            <w:r>
              <w:t>Annahme im Arbeitsorgan</w:t>
            </w:r>
          </w:p>
        </w:tc>
        <w:tc>
          <w:tcPr>
            <w:tcW w:w="5212" w:type="dxa"/>
            <w:vAlign w:val="bottom"/>
          </w:tcPr>
          <w:p w14:paraId="5E71ECD2" w14:textId="09F9A3E5" w:rsidR="00AC5114" w:rsidRPr="00967366" w:rsidRDefault="007F2421" w:rsidP="000E4172">
            <w:pPr>
              <w:autoSpaceDE w:val="0"/>
              <w:autoSpaceDN w:val="0"/>
              <w:jc w:val="left"/>
            </w:pPr>
            <w:r>
              <w:t>7/1/2026</w:t>
            </w:r>
          </w:p>
        </w:tc>
      </w:tr>
      <w:tr w:rsidR="0058411F" w:rsidRPr="00967366" w14:paraId="7AE47B93" w14:textId="77777777" w:rsidTr="002D29BF">
        <w:tc>
          <w:tcPr>
            <w:tcW w:w="4077" w:type="dxa"/>
          </w:tcPr>
          <w:p w14:paraId="26DE3092" w14:textId="5B7F7C13" w:rsidR="0058411F" w:rsidRPr="00967366" w:rsidRDefault="0058411F" w:rsidP="000E4172">
            <w:pPr>
              <w:autoSpaceDE w:val="0"/>
              <w:autoSpaceDN w:val="0"/>
              <w:jc w:val="left"/>
            </w:pPr>
            <w:r>
              <w:t>Verabschiedung im Plenum</w:t>
            </w:r>
          </w:p>
        </w:tc>
        <w:tc>
          <w:tcPr>
            <w:tcW w:w="5212" w:type="dxa"/>
            <w:vAlign w:val="bottom"/>
          </w:tcPr>
          <w:p w14:paraId="34FA2183" w14:textId="56BC2536" w:rsidR="0058411F" w:rsidRPr="00967366" w:rsidRDefault="00C40223" w:rsidP="000E4172">
            <w:pPr>
              <w:autoSpaceDE w:val="0"/>
              <w:autoSpaceDN w:val="0"/>
              <w:jc w:val="left"/>
            </w:pPr>
            <w:r>
              <w:t>22/1/2026</w:t>
            </w:r>
          </w:p>
        </w:tc>
      </w:tr>
      <w:tr w:rsidR="0058411F" w:rsidRPr="00967366" w14:paraId="2FE8AE44" w14:textId="77777777" w:rsidTr="002D29BF">
        <w:tc>
          <w:tcPr>
            <w:tcW w:w="4077" w:type="dxa"/>
          </w:tcPr>
          <w:p w14:paraId="2A65A034" w14:textId="77777777" w:rsidR="0058411F" w:rsidRPr="00967366" w:rsidRDefault="0058411F" w:rsidP="000E4172">
            <w:pPr>
              <w:autoSpaceDE w:val="0"/>
              <w:autoSpaceDN w:val="0"/>
              <w:jc w:val="left"/>
            </w:pPr>
            <w:r>
              <w:t>Plenartagung Nr.</w:t>
            </w:r>
          </w:p>
        </w:tc>
        <w:tc>
          <w:tcPr>
            <w:tcW w:w="5212" w:type="dxa"/>
            <w:vAlign w:val="bottom"/>
          </w:tcPr>
          <w:p w14:paraId="17BFB0A7" w14:textId="0AEC6289" w:rsidR="0058411F" w:rsidRPr="00967366" w:rsidRDefault="00640C5D" w:rsidP="000E4172">
            <w:pPr>
              <w:autoSpaceDE w:val="0"/>
              <w:autoSpaceDN w:val="0"/>
              <w:jc w:val="left"/>
            </w:pPr>
            <w:r>
              <w:t>602</w:t>
            </w:r>
          </w:p>
        </w:tc>
      </w:tr>
      <w:tr w:rsidR="0058411F" w:rsidRPr="00967366" w14:paraId="3889B17A" w14:textId="77777777" w:rsidTr="002D29BF">
        <w:tc>
          <w:tcPr>
            <w:tcW w:w="4077" w:type="dxa"/>
          </w:tcPr>
          <w:p w14:paraId="0C723801" w14:textId="77777777" w:rsidR="0058411F" w:rsidRPr="00967366" w:rsidRDefault="0058411F" w:rsidP="000E4172">
            <w:pPr>
              <w:autoSpaceDE w:val="0"/>
              <w:autoSpaceDN w:val="0"/>
              <w:jc w:val="left"/>
            </w:pPr>
            <w:r>
              <w:t>Ergebnis der Abstimmung</w:t>
            </w:r>
            <w:r>
              <w:br/>
              <w:t>(Ja-Stimmen/Nein-Stimmen/Enthaltungen)</w:t>
            </w:r>
          </w:p>
        </w:tc>
        <w:tc>
          <w:tcPr>
            <w:tcW w:w="5212" w:type="dxa"/>
            <w:vAlign w:val="bottom"/>
          </w:tcPr>
          <w:p w14:paraId="14DB34EA" w14:textId="5F71E016" w:rsidR="0058411F" w:rsidRPr="00967366" w:rsidRDefault="007B2A10" w:rsidP="000E4172">
            <w:pPr>
              <w:autoSpaceDE w:val="0"/>
              <w:autoSpaceDN w:val="0"/>
              <w:jc w:val="left"/>
            </w:pPr>
            <w:r>
              <w:t>209/5/4</w:t>
            </w:r>
          </w:p>
        </w:tc>
      </w:tr>
    </w:tbl>
    <w:p w14:paraId="156A5F34" w14:textId="77777777" w:rsidR="00AC5114" w:rsidRPr="00967366" w:rsidRDefault="00AC5114" w:rsidP="000E4172">
      <w:pPr>
        <w:rPr>
          <w:lang w:val="en-GB"/>
        </w:rPr>
      </w:pPr>
    </w:p>
    <w:p w14:paraId="2CD3051D" w14:textId="77777777" w:rsidR="00AC5114" w:rsidRPr="00967366" w:rsidRDefault="00AC5114" w:rsidP="000E4172">
      <w:pPr>
        <w:rPr>
          <w:lang w:val="en-GB"/>
        </w:rPr>
        <w:sectPr w:rsidR="00AC5114" w:rsidRPr="00967366" w:rsidSect="00653E7D">
          <w:headerReference w:type="even" r:id="rId17"/>
          <w:headerReference w:type="default" r:id="rId18"/>
          <w:footerReference w:type="default" r:id="rId19"/>
          <w:headerReference w:type="first" r:id="rId20"/>
          <w:pgSz w:w="11907" w:h="16839" w:code="9"/>
          <w:pgMar w:top="5670" w:right="1418" w:bottom="1418" w:left="1418" w:header="709" w:footer="709" w:gutter="0"/>
          <w:cols w:space="720"/>
          <w:docGrid w:linePitch="360"/>
        </w:sectPr>
      </w:pPr>
    </w:p>
    <w:p w14:paraId="49A3D238" w14:textId="77777777" w:rsidR="007F2421" w:rsidRPr="00DE2E00" w:rsidRDefault="007F2421" w:rsidP="000E4172">
      <w:pPr>
        <w:pStyle w:val="Heading1"/>
        <w:keepNext/>
      </w:pPr>
      <w:r>
        <w:rPr>
          <w:b/>
        </w:rPr>
        <w:lastRenderedPageBreak/>
        <w:t>Schlussfolgerungen und Empfehlungen</w:t>
      </w:r>
    </w:p>
    <w:p w14:paraId="2CC49C6A" w14:textId="77777777" w:rsidR="007F2421" w:rsidRPr="00DE2E00" w:rsidRDefault="007F2421" w:rsidP="000E4172">
      <w:pPr>
        <w:keepNext/>
        <w:rPr>
          <w:lang w:val="en-GB"/>
        </w:rPr>
      </w:pPr>
    </w:p>
    <w:p w14:paraId="0DB161D5" w14:textId="59D1CDE9" w:rsidR="007F2421" w:rsidRPr="00DE2E00" w:rsidRDefault="007F2421" w:rsidP="000E4172">
      <w:pPr>
        <w:pStyle w:val="Heading2"/>
      </w:pPr>
      <w:r>
        <w:t>Mit Blick auf das Ziel der EU, strategische Autonomie, Resilienz und Wettbewerbsfähigkeit zu erreichen, die europäische Säule sozialer Rechte zu verwirklichen und gleichzeitig eine gerechte Dekarbonisierung und den digitalen Wandel zu bewältigen sowie Sicherheit und Verteidigung sicherzustellen, bestehen nach wie vor erhebliche Investitionslücken. Der Europäische Wirtschafts- und Sozialausschuss (EWSA) warnt, dass der Vorschlag der Kommission, den Umfang des mehrjährigen Finanzrahmens (MFR) nur geringfügig zu erhöhen, unzureichend ist. Seines Erachtens müssen die Mittel im Verhältnis zum Bruttonationaleinkommen (BNE) real erheblich aufgestockt werden.</w:t>
      </w:r>
    </w:p>
    <w:p w14:paraId="6902DB41" w14:textId="77777777" w:rsidR="007F2421" w:rsidRPr="00DE2E00" w:rsidRDefault="007F2421" w:rsidP="000E4172">
      <w:pPr>
        <w:rPr>
          <w:lang w:val="en-GB"/>
        </w:rPr>
      </w:pPr>
    </w:p>
    <w:p w14:paraId="2DA23344" w14:textId="77777777" w:rsidR="007F2421" w:rsidRPr="00DE2E00" w:rsidRDefault="007F2421" w:rsidP="000E4172">
      <w:pPr>
        <w:pStyle w:val="Heading2"/>
      </w:pPr>
      <w:r>
        <w:t>Der EWSA begrüßt den Vorschlag der Kommission für neue Eigenmittel der EU, fordert jedoch ehrgeizigere Ziele, um einen wirksameren Haushalt zu gewährleisten. Zudem sollten die Einnahmen mit den EU-Politikbereichen verknüpft werden. Der EWSA unterstützt die Eigenmittel aus dem Emissionshandelssystem (EHS) und dem CO</w:t>
      </w:r>
      <w:r>
        <w:rPr>
          <w:vertAlign w:val="subscript"/>
        </w:rPr>
        <w:t>2</w:t>
      </w:r>
      <w:r>
        <w:t xml:space="preserve">-Grenzausgleichssystem (CBAM), fordert jedoch eine kurzfristige Unterstützung für die Dekarbonisierung energieintensiver Sektoren, sollte dies ab 2028 erforderlich sein. Der EWSA äußert starke Vorbehalte gegen den vorgeschlagenen Unternehmensbeitrag für Europa (Corporate </w:t>
      </w:r>
      <w:proofErr w:type="spellStart"/>
      <w:r>
        <w:t>Resource</w:t>
      </w:r>
      <w:proofErr w:type="spellEnd"/>
      <w:r>
        <w:t xml:space="preserve"> </w:t>
      </w:r>
      <w:proofErr w:type="spellStart"/>
      <w:r>
        <w:t>for</w:t>
      </w:r>
      <w:proofErr w:type="spellEnd"/>
      <w:r>
        <w:t xml:space="preserve"> Europe – CORE) und fordert die Kommission auf, stattdessen einen Vorschlag für eine Digitalsteuer vorzulegen, wobei es die geopolitischen Auswirkungen zu berücksichtigen gilt. Zudem betont der EWSA, dass die neuen Eigenmittel weder die Wettbewerbsfähigkeit der EU beeinträchtigen noch das soziale und verteilungsbezogene Gleichgewicht gefährden dürfen.</w:t>
      </w:r>
    </w:p>
    <w:p w14:paraId="42958BB3" w14:textId="77777777" w:rsidR="007F2421" w:rsidRPr="00DE2E00" w:rsidRDefault="007F2421" w:rsidP="000E4172">
      <w:pPr>
        <w:rPr>
          <w:lang w:val="en-GB"/>
        </w:rPr>
      </w:pPr>
    </w:p>
    <w:p w14:paraId="7E1D1D40" w14:textId="77777777" w:rsidR="007F2421" w:rsidRPr="00DE2E00" w:rsidRDefault="007F2421" w:rsidP="000E4172">
      <w:pPr>
        <w:pStyle w:val="Heading2"/>
      </w:pPr>
      <w:r>
        <w:t>Der EWSA lehnt die vorgeschlagene Kürzung der Mittel für die Kohäsionspolitik und die Gemeinsame Agrarpolitik (GAP) im nächsten MFR entschieden ab und betont, dass solche Kürzungen die Wirksamkeit der EU-Maßnahmen, die sich bei der Verwirklichung der Ziele der EU bewährt haben, verringern würden.</w:t>
      </w:r>
    </w:p>
    <w:p w14:paraId="3DF82E8A" w14:textId="77777777" w:rsidR="007F2421" w:rsidRPr="00DE2E00" w:rsidRDefault="007F2421" w:rsidP="000E4172">
      <w:pPr>
        <w:rPr>
          <w:lang w:val="en-GB"/>
        </w:rPr>
      </w:pPr>
    </w:p>
    <w:p w14:paraId="751E3B92" w14:textId="77777777" w:rsidR="007F2421" w:rsidRPr="00DE2E00" w:rsidRDefault="007F2421" w:rsidP="000E4172">
      <w:pPr>
        <w:pStyle w:val="Heading2"/>
      </w:pPr>
      <w:r>
        <w:t xml:space="preserve">Der EWSA spricht sich auch gegen die geplante Zusammenführung der Mittel für die Kohäsionspolitik, den Europäischen Sozialfonds Plus (ESF+), die GAP, die Fischerei, die Migration und die Sicherheit in einem einzigen Fonds aus. Er fordert die Europäische Kommission auf, ihren Vorschlag für den Fonds für nationale und regionale Partnerschaftspläne (NRPP) zu überarbeiten, und ersucht den Rat und das Europäische Parlament, sich diesem Standpunkt anzuschließen. </w:t>
      </w:r>
    </w:p>
    <w:p w14:paraId="23E04F45" w14:textId="77777777" w:rsidR="007F2421" w:rsidRPr="00DE2E00" w:rsidRDefault="007F2421" w:rsidP="000E4172">
      <w:pPr>
        <w:rPr>
          <w:lang w:val="en-GB"/>
        </w:rPr>
      </w:pPr>
    </w:p>
    <w:p w14:paraId="6F4DCE06" w14:textId="77777777" w:rsidR="007F2421" w:rsidRPr="00DE2E00" w:rsidRDefault="007F2421" w:rsidP="000E4172">
      <w:pPr>
        <w:pStyle w:val="Heading2"/>
      </w:pPr>
      <w:r>
        <w:t xml:space="preserve">Der EWSA fordert eine Stärkung des Partnerschaftsprinzips durch einen besseren Verhaltenskodex und die Finanzierung des Kapazitätsaufbaus von Organisationen der Zivilgesellschaft und Sozialpartnern sowie der technischen Hilfe für Begünstigte und Verwaltungsbehörden. Er betont, dass alle Interessenträger wirksam in alle Ebenen der Entscheidungsfindung über Mittelzuweisung, strategische Prioritäten, Programme, Indikatoren und Bewertungen einbezogen werden müssen. In der Verordnung über den Europäischen Fonds für wirtschaftlichen, sozialen und territorialen Zusammenhalt, Landwirtschaft und den ländlichen Raum, Fischerei und Meere, Wohlstand und Sicherheit für den Zeitraum 2028-2034 </w:t>
      </w:r>
      <w:r>
        <w:lastRenderedPageBreak/>
        <w:t>(Multifonds-Verordnung)</w:t>
      </w:r>
      <w:r w:rsidRPr="00DE2E00">
        <w:rPr>
          <w:rStyle w:val="FootnoteReference"/>
          <w:lang w:val="en-GB"/>
        </w:rPr>
        <w:footnoteReference w:id="1"/>
      </w:r>
      <w:r>
        <w:t xml:space="preserve"> fehlen verbindliche Mechanismen, um eine konstruktive Beteiligung der Interessenträger zu gewährleisten. Der EWSA fordert, in der Verordnung einen neuen Beschwerdemechanismus vorzusehen. Wenn die Regierungen die Interessenträger nicht wirksam einbeziehen, müssen angemessene Schutzmechanismen und Konditionalitäten greifen, um die Beteiligung zu verbessern.</w:t>
      </w:r>
    </w:p>
    <w:p w14:paraId="16E5B2B8" w14:textId="77777777" w:rsidR="007F2421" w:rsidRPr="00DE2E00" w:rsidRDefault="007F2421" w:rsidP="000E4172">
      <w:pPr>
        <w:rPr>
          <w:lang w:val="en-GB"/>
        </w:rPr>
      </w:pPr>
    </w:p>
    <w:p w14:paraId="0505FE1C" w14:textId="77777777" w:rsidR="007F2421" w:rsidRPr="00DE2E00" w:rsidRDefault="007F2421" w:rsidP="000E4172">
      <w:pPr>
        <w:pStyle w:val="Heading2"/>
      </w:pPr>
      <w:r>
        <w:t xml:space="preserve">Der EWSA ist sich bewusst, dass die EU-Mittel im Rahmen eines einheitlichen </w:t>
      </w:r>
      <w:proofErr w:type="spellStart"/>
      <w:r>
        <w:t>Governance</w:t>
      </w:r>
      <w:proofErr w:type="spellEnd"/>
      <w:r>
        <w:t>- und Evaluierungskonzepts aufeinander abgestimmt werden müssen, um die EU entschlossen auf ein ökologisch, wirtschaftlich und sozial nachhaltiges und wettbewerbsorientiertes Modell auszurichten. Er befürwortet daher die Stärkung der leistungsorientierten Haushaltsplanung.</w:t>
      </w:r>
    </w:p>
    <w:p w14:paraId="51F233AA" w14:textId="77777777" w:rsidR="007F2421" w:rsidRPr="00DE2E00" w:rsidRDefault="007F2421" w:rsidP="000E4172">
      <w:pPr>
        <w:pStyle w:val="Heading3"/>
        <w:numPr>
          <w:ilvl w:val="0"/>
          <w:numId w:val="0"/>
        </w:numPr>
        <w:ind w:left="284" w:hanging="284"/>
        <w:rPr>
          <w:lang w:val="en-GB"/>
        </w:rPr>
      </w:pPr>
    </w:p>
    <w:p w14:paraId="53B4E323" w14:textId="77777777" w:rsidR="007F2421" w:rsidRPr="00DE2E00" w:rsidRDefault="007F2421" w:rsidP="000E4172">
      <w:pPr>
        <w:pStyle w:val="Heading2"/>
      </w:pPr>
      <w:r>
        <w:t>Der EWSA lehnt jegliche Form der makroökonomischen Konditionalität in den nationalen und regionalen Partnerschaftsplänen (NRPP) ab. Die Anforderung, dass mit den NRPP die im Rahmen des Europäischen Semesters ermittelten Probleme wirksam angegangen werden sollten, ist daher in der jetzigen Form nicht zielführend und sollte präzisiert werden. Die Auszahlung von EU-Mitteln darf nicht an davon losgelöste Strukturreformvorschläge geknüpft werden. Die Verpflichtung zu Reformen sollte einen Bezug zum politischen Ziel des Fonds aufweisen und die effektive Verwaltung des Fonds fördern.</w:t>
      </w:r>
    </w:p>
    <w:p w14:paraId="5D7AA282" w14:textId="77777777" w:rsidR="007F2421" w:rsidRPr="00DE2E00" w:rsidRDefault="007F2421" w:rsidP="000E4172">
      <w:pPr>
        <w:rPr>
          <w:lang w:val="en-GB"/>
        </w:rPr>
      </w:pPr>
    </w:p>
    <w:p w14:paraId="44B94B8A" w14:textId="77777777" w:rsidR="007F2421" w:rsidRPr="00DE2E00" w:rsidRDefault="007F2421" w:rsidP="000E4172">
      <w:pPr>
        <w:pStyle w:val="Heading2"/>
      </w:pPr>
      <w:r>
        <w:t>Der EWSA betont, dass der ESF+ und der Fonds für einen gerechten Übergang im nächsten MFR eigenständige Instrumente mit einer aufgestockten Mittelausstattung bleiben sollten.</w:t>
      </w:r>
    </w:p>
    <w:p w14:paraId="1393BFB5" w14:textId="77777777" w:rsidR="007F2421" w:rsidRPr="00DE2E00" w:rsidRDefault="007F2421" w:rsidP="000E4172">
      <w:pPr>
        <w:ind w:left="284" w:hanging="284"/>
        <w:rPr>
          <w:lang w:val="en-GB"/>
        </w:rPr>
      </w:pPr>
    </w:p>
    <w:p w14:paraId="262E3CAD" w14:textId="77777777" w:rsidR="007F2421" w:rsidRPr="00DE2E00" w:rsidRDefault="007F2421" w:rsidP="000E4172">
      <w:pPr>
        <w:pStyle w:val="Heading2"/>
        <w:rPr>
          <w:color w:val="222222"/>
          <w:shd w:val="clear" w:color="auto" w:fill="FFFFFF"/>
        </w:rPr>
      </w:pPr>
      <w:r>
        <w:t xml:space="preserve">Der EWSA nimmt die zusätzlichen Vorschläge der Kommission zur Kenntnis, die Kommissionspräsidentin Ursula von der Leyen in ihrem Schreiben vom 9. November 2025 an die Präsidentin des Europäischen Parlaments, Roberta </w:t>
      </w:r>
      <w:proofErr w:type="spellStart"/>
      <w:r>
        <w:t>Metsola</w:t>
      </w:r>
      <w:proofErr w:type="spellEnd"/>
      <w:r>
        <w:t xml:space="preserve">, übermittelt hat. Er hält es für wesentlich, dass die Vorschläge zur „regionalen Kontrolle“ sowohl im Hinblick auf die </w:t>
      </w:r>
      <w:proofErr w:type="spellStart"/>
      <w:r>
        <w:t>Governance</w:t>
      </w:r>
      <w:proofErr w:type="spellEnd"/>
      <w:r>
        <w:t xml:space="preserve"> als auch auf die beteiligten Akteure wieder aufgeschnürt und vertieft werden. Der EWSA hält die dem ländlichen Raum gewidmete Aufmerksamkeit und die vorgeschlagenen Ziele für positiv, auch unter dem Gesichtspunkt des im Letta-Bericht</w:t>
      </w:r>
      <w:r w:rsidRPr="00DE2E00">
        <w:rPr>
          <w:rStyle w:val="FootnoteReference"/>
          <w:color w:val="222222"/>
          <w:shd w:val="clear" w:color="auto" w:fill="FFFFFF"/>
          <w:lang w:val="en-GB"/>
        </w:rPr>
        <w:footnoteReference w:id="2"/>
      </w:r>
      <w:r>
        <w:t xml:space="preserve"> hervorgehobenen „Rechts zu bleiben“.</w:t>
      </w:r>
    </w:p>
    <w:p w14:paraId="56DA7BFB" w14:textId="77777777" w:rsidR="007F2421" w:rsidRPr="00DE2E00" w:rsidRDefault="007F2421" w:rsidP="000E4172">
      <w:pPr>
        <w:rPr>
          <w:lang w:val="en-GB"/>
        </w:rPr>
      </w:pPr>
    </w:p>
    <w:p w14:paraId="16D342CC" w14:textId="77777777" w:rsidR="007F2421" w:rsidRPr="00DE2E00" w:rsidRDefault="007F2421" w:rsidP="000E4172">
      <w:pPr>
        <w:pStyle w:val="Heading2"/>
      </w:pPr>
      <w:r>
        <w:rPr>
          <w:color w:val="222222"/>
          <w:shd w:val="clear" w:color="auto" w:fill="FFFFFF"/>
        </w:rPr>
        <w:t>Der EWSA betont, dass eine angemessene Finanzierung von Programmen im Bereich Zivilgesellschaft und Medien (</w:t>
      </w:r>
      <w:proofErr w:type="spellStart"/>
      <w:r>
        <w:rPr>
          <w:color w:val="222222"/>
          <w:shd w:val="clear" w:color="auto" w:fill="FFFFFF"/>
        </w:rPr>
        <w:t>AgoraEU</w:t>
      </w:r>
      <w:proofErr w:type="spellEnd"/>
      <w:r>
        <w:rPr>
          <w:color w:val="222222"/>
          <w:shd w:val="clear" w:color="auto" w:fill="FFFFFF"/>
        </w:rPr>
        <w:t>, CERV) angesichts der derzeitigen Bedrohungen für die Demokratie und die Grundwerte der EU zur unverzichtbaren demokratischen Infrastruktur gehört und keine fakultative Ausgabe ist.</w:t>
      </w:r>
    </w:p>
    <w:p w14:paraId="41B65431" w14:textId="77777777" w:rsidR="007F2421" w:rsidRPr="00DE2E00" w:rsidRDefault="007F2421" w:rsidP="000E4172">
      <w:pPr>
        <w:pStyle w:val="Heading2"/>
        <w:numPr>
          <w:ilvl w:val="0"/>
          <w:numId w:val="0"/>
        </w:numPr>
        <w:rPr>
          <w:lang w:val="en-GB"/>
        </w:rPr>
      </w:pPr>
    </w:p>
    <w:p w14:paraId="0AC8AB9A" w14:textId="221A2419" w:rsidR="007F2421" w:rsidRPr="00DE2E00" w:rsidRDefault="007F2421" w:rsidP="000E4172">
      <w:pPr>
        <w:pStyle w:val="Heading2"/>
      </w:pPr>
      <w:r>
        <w:t xml:space="preserve">Der EWSA begrüßt die starke Ausrichtung des nächsten MFR auf die Wettbewerbsfähigkeit und betont, dass Forschung und Innovation zentrale Faktoren für ein nachhaltiges Binnenwachstum, strategische Autonomie, </w:t>
      </w:r>
      <w:proofErr w:type="spellStart"/>
      <w:r>
        <w:t>Wasserresilienz</w:t>
      </w:r>
      <w:proofErr w:type="spellEnd"/>
      <w:r>
        <w:t xml:space="preserve"> und den ökologischen und digitalen Wandel sind. Er befürwortet die Einrichtung eines Europäischen Fonds für Wettbewerbsfähigkeit (ECF) und die Stärkung von Horizont Europa mit einer höheren Mittelausstattung, weist jedoch darauf hin, dass der ECF hauptsächlich bestehende Programme </w:t>
      </w:r>
      <w:r>
        <w:lastRenderedPageBreak/>
        <w:t xml:space="preserve">zusammenführen wird und hier eine klare </w:t>
      </w:r>
      <w:proofErr w:type="spellStart"/>
      <w:r>
        <w:t>Governance</w:t>
      </w:r>
      <w:proofErr w:type="spellEnd"/>
      <w:r>
        <w:t xml:space="preserve"> und Leitlinien für die Finanzierungsprioritäten nötig sind.</w:t>
      </w:r>
    </w:p>
    <w:p w14:paraId="4F6BF794" w14:textId="77777777" w:rsidR="007F2421" w:rsidRPr="00DE2E00" w:rsidRDefault="007F2421" w:rsidP="000E4172">
      <w:pPr>
        <w:rPr>
          <w:lang w:val="en-GB"/>
        </w:rPr>
      </w:pPr>
    </w:p>
    <w:p w14:paraId="7C05D14A" w14:textId="77777777" w:rsidR="007F2421" w:rsidRPr="00DE2E00" w:rsidRDefault="007F2421" w:rsidP="000E4172">
      <w:pPr>
        <w:pStyle w:val="Heading2"/>
      </w:pPr>
      <w:r>
        <w:t>Der EWSA betont die Bedeutung eines gleichberechtigten Zugangs zu den Finanzmitteln in allen Mitgliedstaaten und für alle Unternehmensformen und Unternehmensgrößen. Daher unterstützt er die von der Kommission vorgeschlagene Möglichkeit einer Aufstockung für wichtige Vorhaben von gemeinsamem europäischen Interesse (IPCEI).</w:t>
      </w:r>
    </w:p>
    <w:p w14:paraId="063AECA3" w14:textId="77777777" w:rsidR="007F2421" w:rsidRPr="00DE2E00" w:rsidRDefault="007F2421" w:rsidP="000E4172">
      <w:pPr>
        <w:rPr>
          <w:lang w:val="en-GB"/>
        </w:rPr>
      </w:pPr>
    </w:p>
    <w:p w14:paraId="1D94DA4C" w14:textId="77777777" w:rsidR="007F2421" w:rsidRPr="00DE2E00" w:rsidRDefault="007F2421" w:rsidP="000E4172">
      <w:pPr>
        <w:pStyle w:val="Heading2"/>
      </w:pPr>
      <w:r>
        <w:t>Der EWSA betont die Notwendigkeit einer ausgewogenen Mittelzuweisung innerhalb der vier Politikfenster des Fonds für Wettbewerbsfähigkeit. Er befürwortet eine höhere Mittelausstattung für die Fazilität „</w:t>
      </w:r>
      <w:proofErr w:type="spellStart"/>
      <w:r>
        <w:t>Connecting</w:t>
      </w:r>
      <w:proofErr w:type="spellEnd"/>
      <w:r>
        <w:t xml:space="preserve"> Europe“, um die Verkehrs- und Energieverbundnetze zu stärken, die Konnektivität zu verbessern und das Energiepreisgefälle innerhalb der EU zu verringern.</w:t>
      </w:r>
    </w:p>
    <w:p w14:paraId="7287481C" w14:textId="77777777" w:rsidR="007F2421" w:rsidRPr="00DE2E00" w:rsidRDefault="007F2421" w:rsidP="000E4172">
      <w:pPr>
        <w:rPr>
          <w:lang w:val="en-GB"/>
        </w:rPr>
      </w:pPr>
    </w:p>
    <w:p w14:paraId="4AE64458" w14:textId="77777777" w:rsidR="007F2421" w:rsidRPr="00DE2E00" w:rsidRDefault="007F2421" w:rsidP="000E4172">
      <w:pPr>
        <w:pStyle w:val="Heading2"/>
      </w:pPr>
      <w:r>
        <w:t>Der EWSA fordert, die EU-Finanzierung im Rahmen der Multifondsverordnung an soziale Kriterien zu knüpfen, die gemeinsam mit den nationalen Sozialpartnern zu entwickeln sind. Er begrüßt ferner die in der ECF-Verordnung enthaltene Bestimmung, wonach sich die Begünstigten verpflichten müssen, keine Standortverlagerung ins Ausland vorzunehmen. Zur Stärkung der sozialen Dimension des ECF schlägt der EWSA vor, zusätzliche Anreize zu schaffen, damit Unternehmen in die Aus- und Weiterbindung ihrer Arbeitskräfte oder in von hoher Arbeitslosigkeit oder Strukturwandel betroffene Regionen investieren.</w:t>
      </w:r>
    </w:p>
    <w:p w14:paraId="7ED8CCA4" w14:textId="77777777" w:rsidR="007F2421" w:rsidRPr="00DE2E00" w:rsidRDefault="007F2421" w:rsidP="000E4172">
      <w:pPr>
        <w:rPr>
          <w:lang w:val="en-GB"/>
        </w:rPr>
      </w:pPr>
    </w:p>
    <w:p w14:paraId="5E2FA643" w14:textId="77777777" w:rsidR="007F2421" w:rsidRPr="00DE2E00" w:rsidRDefault="007F2421" w:rsidP="000E4172">
      <w:pPr>
        <w:pStyle w:val="Heading2"/>
      </w:pPr>
      <w:r>
        <w:t>Der EWSA fordert unter Hinweis auf den zur Überwachung des Fonds für Wettbewerbsfähigkeit eingerichteten strategischen Ausschuss der Interessenträger nachdrücklich, auch die Sozialpartner daran zu beteiligen, um bei der Entscheidungsfindung eine ausgewogene Vertretung der Sichtweisen aus Wirtschaft, Arbeitnehmerkreisen und Gesellschaft zu gewährleisten.</w:t>
      </w:r>
    </w:p>
    <w:p w14:paraId="650A4DC0" w14:textId="77777777" w:rsidR="007F2421" w:rsidRPr="00DE2E00" w:rsidRDefault="007F2421" w:rsidP="000E4172">
      <w:pPr>
        <w:rPr>
          <w:lang w:val="en-GB"/>
        </w:rPr>
      </w:pPr>
    </w:p>
    <w:p w14:paraId="5755B0CA" w14:textId="77777777" w:rsidR="007F2421" w:rsidRPr="00DE2E00" w:rsidRDefault="007F2421" w:rsidP="000E4172">
      <w:pPr>
        <w:pStyle w:val="Heading2"/>
      </w:pPr>
      <w:r>
        <w:t>Der EWSA begrüßt die Aufstockung der Haushaltsmittel für das Instrument „Europa in der Welt“ als Schritt, der das enorme Potenzial des auswärtigen Handelns der EU entscheidend stärken kann. Er warnt, dass eine übermäßige Regionalisierung durch einen stärkeren „Global Gateway“-Schwerpunkt kompensiert werden muss. Dieses wichtige EU-Instrument zur Förderung des Multilateralismus sollte von der derzeitigen Partnerschaft zu einem strategischen Bündnis weiterentwickelt werden, an dem alle betroffenen Akteure beteiligt sind.</w:t>
      </w:r>
    </w:p>
    <w:p w14:paraId="0D6C20C2" w14:textId="77777777" w:rsidR="007F2421" w:rsidRPr="00DE2E00" w:rsidRDefault="007F2421" w:rsidP="000E4172">
      <w:pPr>
        <w:rPr>
          <w:lang w:val="en-GB"/>
        </w:rPr>
      </w:pPr>
    </w:p>
    <w:p w14:paraId="0831711F" w14:textId="77777777" w:rsidR="007F2421" w:rsidRPr="00DE2E00" w:rsidRDefault="007F2421" w:rsidP="000E4172">
      <w:pPr>
        <w:pStyle w:val="Heading2"/>
      </w:pPr>
      <w:r>
        <w:t>Der EWSA betont, dass durch einen strategischen und schlüssigen Ansatz für größtmögliche Kohärenz zwischen Außenpolitik, Handel und ECF gesorgt werden muss. Zugleich unterstreicht der EWSA die Notwendigkeit, den Wohlstand und die Sicherheit gemeinsam mit unseren Nachbarn zu stärken und dem Prozess der Erweiterung neue und konsequente Impulse zu verleihen.</w:t>
      </w:r>
    </w:p>
    <w:p w14:paraId="6BCD600A" w14:textId="77777777" w:rsidR="007F2421" w:rsidRPr="00DE2E00" w:rsidRDefault="007F2421" w:rsidP="000E4172">
      <w:pPr>
        <w:rPr>
          <w:lang w:val="en-GB"/>
        </w:rPr>
      </w:pPr>
    </w:p>
    <w:p w14:paraId="40EA5F29" w14:textId="77777777" w:rsidR="007F2421" w:rsidRPr="00DE2E00" w:rsidRDefault="007F2421" w:rsidP="000E4172">
      <w:pPr>
        <w:pStyle w:val="Heading1"/>
        <w:keepNext/>
      </w:pPr>
      <w:r>
        <w:rPr>
          <w:b/>
        </w:rPr>
        <w:t>Allgemeine Bemerkungen</w:t>
      </w:r>
    </w:p>
    <w:p w14:paraId="7A5187B9" w14:textId="77777777" w:rsidR="007F2421" w:rsidRPr="00DE2E00" w:rsidRDefault="007F2421" w:rsidP="000E4172">
      <w:pPr>
        <w:keepNext/>
        <w:rPr>
          <w:lang w:val="en-GB"/>
        </w:rPr>
      </w:pPr>
    </w:p>
    <w:p w14:paraId="24D0D0A0" w14:textId="77777777" w:rsidR="007F2421" w:rsidRPr="00DE2E00" w:rsidRDefault="007F2421" w:rsidP="000E4172">
      <w:pPr>
        <w:pStyle w:val="Heading2"/>
      </w:pPr>
      <w:r>
        <w:t>Die EU steht vor einer beispiellosen Kombination sozialer, ökologischer, demografischer und technologischer Herausforderungen, die sich vor dem Hintergrund einer schweren Krise des Multilateralismus herausbilden.</w:t>
      </w:r>
      <w:r>
        <w:rPr>
          <w:color w:val="222222"/>
        </w:rPr>
        <w:t xml:space="preserve"> Diese Entwicklungen machen deutlich, dass die strategische Autonomie Europas für eine wirklich nachhaltige Zukunft dringend gestärkt werden muss.</w:t>
      </w:r>
    </w:p>
    <w:p w14:paraId="79E04CE2" w14:textId="77777777" w:rsidR="007F2421" w:rsidRPr="00DE2E00" w:rsidRDefault="007F2421" w:rsidP="000E4172">
      <w:pPr>
        <w:rPr>
          <w:lang w:val="en-GB"/>
        </w:rPr>
      </w:pPr>
    </w:p>
    <w:p w14:paraId="2CF2743C" w14:textId="77777777" w:rsidR="007F2421" w:rsidRPr="00DE2E00" w:rsidRDefault="007F2421" w:rsidP="000E4172">
      <w:pPr>
        <w:pStyle w:val="Heading2"/>
      </w:pPr>
      <w:r>
        <w:t xml:space="preserve">Der EWSA unterstreicht die politischen Ziele einer gerechten Dekarbonisierung, des digitalen Wandels und der europäischen Sicherheit und Verteidigung, für die mehr Investitionen erforderlich sind. In jüngsten im Auftrag der EU-Organe erstellten Berichten (Draghi, Letta, </w:t>
      </w:r>
      <w:proofErr w:type="spellStart"/>
      <w:r>
        <w:t>Niinistö</w:t>
      </w:r>
      <w:proofErr w:type="spellEnd"/>
      <w:r>
        <w:t>) werden diese Mängel hervorgehoben und darauf hingewiesen, dass dringend eine größere und flexiblere Fiskalkapazität im Rahmen des nächsten MFR erforderlich ist, um die unmittelbar anstehenden und die langfristigen Herausforderungen anzugehen.</w:t>
      </w:r>
    </w:p>
    <w:p w14:paraId="6C61FEA1" w14:textId="77777777" w:rsidR="007F2421" w:rsidRPr="00DE2E00" w:rsidRDefault="007F2421" w:rsidP="000E4172">
      <w:pPr>
        <w:rPr>
          <w:lang w:val="en-GB"/>
        </w:rPr>
      </w:pPr>
    </w:p>
    <w:p w14:paraId="067268B8" w14:textId="77777777" w:rsidR="007F2421" w:rsidRPr="00DE2E00" w:rsidRDefault="007F2421" w:rsidP="000E4172">
      <w:pPr>
        <w:pStyle w:val="Heading2"/>
      </w:pPr>
      <w:r>
        <w:t xml:space="preserve">Obendrein müssen im neuen EU-Haushalt miteinander konkurrierende finanzielle Belastungen in Einklang gebracht werden: das Aufbauinstrument </w:t>
      </w:r>
      <w:proofErr w:type="spellStart"/>
      <w:r>
        <w:t>NextGenerationEU</w:t>
      </w:r>
      <w:proofErr w:type="spellEnd"/>
      <w:r>
        <w:t xml:space="preserve"> läuft 2026 aus, Rückzahlungen von pandemiebedingten Schulden in Höhe von 25 Milliarden Euro stehen jährlich an, es gilt, die traditionellen Prioritäten (wie Kohäsionspolitik und GAP) zu wahren, und neue Prioritäten wie Wettbewerbsfähigkeit, wirtschaftlichen Resilienz, Verteidigung und Sicherheit müssen angemessen finanziert werden. Der MFR, die Ausgestaltung der Fonds und die Vorschriften über staatliche Beihilfen sollten daher angemessen aufeinander abgestimmt werden, um die Stabilität und Gesamtkohärenz des Systems zu gewährleisten.</w:t>
      </w:r>
    </w:p>
    <w:p w14:paraId="6E2802A1" w14:textId="77777777" w:rsidR="007F2421" w:rsidRPr="00DE2E00" w:rsidRDefault="007F2421" w:rsidP="000E4172">
      <w:pPr>
        <w:pStyle w:val="Heading2"/>
        <w:numPr>
          <w:ilvl w:val="0"/>
          <w:numId w:val="0"/>
        </w:numPr>
        <w:jc w:val="left"/>
        <w:rPr>
          <w:lang w:val="en-GB"/>
        </w:rPr>
      </w:pPr>
    </w:p>
    <w:p w14:paraId="0FF9C5A4" w14:textId="77777777" w:rsidR="007F2421" w:rsidRPr="00DE2E00" w:rsidRDefault="007F2421" w:rsidP="000E4172">
      <w:pPr>
        <w:pStyle w:val="Heading2"/>
      </w:pPr>
      <w:r>
        <w:t xml:space="preserve">Diesem Finanzbedarf wird mit der von der Kommission vorgeschlagenen marginalen Aufstockung des MFR nur unzureichend Rechnung getragen. Das vorgeschlagene Volumen von 2 Billionen Euro stellt zwar einen erheblichen nominalen Anstieg dar, doch wird dieser zum größten Teil durch Inflationsanpassungen und die Rückzahlung von </w:t>
      </w:r>
      <w:proofErr w:type="spellStart"/>
      <w:r>
        <w:t>NextGenerationEU</w:t>
      </w:r>
      <w:proofErr w:type="spellEnd"/>
      <w:r>
        <w:t>-Anleihen aufgezehrt. Der EWSA bekräftigt daher, dass der reale Umfang des nächsten MFR gemessen am BNE nicht nur beibehalten, sondern erheblich aufgestockt werden muss.</w:t>
      </w:r>
      <w:r w:rsidRPr="00DE2E00">
        <w:rPr>
          <w:rStyle w:val="FootnoteReference"/>
          <w:lang w:val="en-GB"/>
        </w:rPr>
        <w:footnoteReference w:id="3"/>
      </w:r>
    </w:p>
    <w:p w14:paraId="7C1FCE76" w14:textId="77777777" w:rsidR="007F2421" w:rsidRPr="00DE2E00" w:rsidRDefault="007F2421" w:rsidP="000E4172">
      <w:pPr>
        <w:rPr>
          <w:lang w:val="en-GB"/>
        </w:rPr>
      </w:pPr>
    </w:p>
    <w:p w14:paraId="6B40734F" w14:textId="77777777" w:rsidR="007F2421" w:rsidRPr="00DE2E00" w:rsidRDefault="007F2421" w:rsidP="000E4172">
      <w:pPr>
        <w:pStyle w:val="Heading2"/>
      </w:pPr>
      <w:r>
        <w:t>Der EWSA bedauert, dass die europäischen öffentlichen Güter, welche mit nationalen Mitteln allein kaum zu finanzieren, voranzutreiben und zu schützen sind, im MFR-Vorschlag völlig unberücksichtigt bleiben. Im Einklang mit den in Artikel 3 des Vertrags über die Europäische Union (EUV) festgelegten Zielen ist es erforderlich, angemessene und entschiedene Investitionen auf EU-Ebene für sie bereitzustellen, um Größenvorteile, positive externe Effekte und einen echten europäischen Mehrwert zu erzielen und das wirtschaftliche, soziale, ökologische und Humankapital der EU zu schützen, anzupassen und zu verändern. Nur so kann Europa den aktuellen und künftigen Herausforderungen begegnen.</w:t>
      </w:r>
      <w:r w:rsidRPr="00DE2E00">
        <w:rPr>
          <w:rStyle w:val="FootnoteReference"/>
          <w:lang w:val="en-GB"/>
        </w:rPr>
        <w:footnoteReference w:id="4"/>
      </w:r>
    </w:p>
    <w:p w14:paraId="22949403" w14:textId="77777777" w:rsidR="007F2421" w:rsidRPr="00DE2E00" w:rsidRDefault="007F2421" w:rsidP="000E4172">
      <w:pPr>
        <w:rPr>
          <w:lang w:val="en-GB"/>
        </w:rPr>
      </w:pPr>
    </w:p>
    <w:p w14:paraId="38FF09BD" w14:textId="77777777" w:rsidR="007F2421" w:rsidRPr="00DE2E00" w:rsidRDefault="007F2421" w:rsidP="000E4172">
      <w:pPr>
        <w:pStyle w:val="Heading2"/>
      </w:pPr>
      <w:r>
        <w:t xml:space="preserve">Ohne neue Einnahmequellen der EU und ohne Instrumente zur gemeinsamen Emission von Schuldtiteln werden der Union die ausreichenden finanziellen Mittel fehlen, um ihre strategischen Ziele zu erreichen. Solche Instrumente würden nicht nur die Bereitstellung der erforderlichen Finanzmittel gewährleisten, sondern auch die kollektive Stärke und das Vertrauen der EU in ihre künftigen wirtschaftlichen und sozialen Fähigkeiten zum Ausdruck bringen und als sichere Anlagen auf den Finanzmärkten fungieren, was auch Mario Draghi wiederholt empfohlen hat. Vor diesem Hintergrund bekräftigt der EWSA seine Forderung nach der Einrichtung eines EU-Investitionsfonds für wirtschaftliche Resilienz und nachhaltige </w:t>
      </w:r>
      <w:r>
        <w:lastRenderedPageBreak/>
        <w:t>Wettbewerbsfähigkeit</w:t>
      </w:r>
      <w:r w:rsidRPr="00DE2E00">
        <w:rPr>
          <w:rStyle w:val="FootnoteReference"/>
          <w:lang w:val="en-GB"/>
        </w:rPr>
        <w:footnoteReference w:id="5"/>
      </w:r>
      <w:r>
        <w:t xml:space="preserve"> als Teil des nächsten MFR. Ein solcher Fonds sollte Finanzmittel für Investitionsvorhaben von strategischem europäischem Interesse bereitstellen.</w:t>
      </w:r>
    </w:p>
    <w:p w14:paraId="2B25588D" w14:textId="77777777" w:rsidR="007F2421" w:rsidRPr="00DE2E00" w:rsidRDefault="007F2421" w:rsidP="000E4172">
      <w:pPr>
        <w:rPr>
          <w:lang w:val="en-GB"/>
        </w:rPr>
      </w:pPr>
    </w:p>
    <w:p w14:paraId="52C2D83D" w14:textId="77777777" w:rsidR="007F2421" w:rsidRPr="00DE2E00" w:rsidRDefault="007F2421" w:rsidP="000E4172">
      <w:pPr>
        <w:pStyle w:val="Heading2"/>
      </w:pPr>
      <w:r>
        <w:t>Gleichzeitig begrüßt der EWSA den Vorschlag der Europäischen Kommission, im nächsten MFR neue Darlehensinstrumente wie „</w:t>
      </w:r>
      <w:proofErr w:type="spellStart"/>
      <w:r>
        <w:t>Catalyst</w:t>
      </w:r>
      <w:proofErr w:type="spellEnd"/>
      <w:r>
        <w:t xml:space="preserve"> Europe“ und den Krisenreaktionsmechanismus einzurichten</w:t>
      </w:r>
      <w:r w:rsidRPr="00DE2E00">
        <w:rPr>
          <w:rStyle w:val="FootnoteReference"/>
          <w:lang w:val="en-GB"/>
        </w:rPr>
        <w:footnoteReference w:id="6"/>
      </w:r>
      <w:r>
        <w:t>. Bei richtiger Konzipierung können Darlehensinstrumente den haushaltspolitischen Spielraum der Mitgliedstaaten für wachstumsfördernde Investitionen erheblich erhöhen. Das Beispiel der SAFE-Darlehen</w:t>
      </w:r>
      <w:r w:rsidRPr="00DE2E00">
        <w:rPr>
          <w:rStyle w:val="FootnoteReference"/>
          <w:lang w:val="en-GB"/>
        </w:rPr>
        <w:footnoteReference w:id="7"/>
      </w:r>
      <w:r>
        <w:t xml:space="preserve"> zeigt, dass diese Darlehen im haushaltspolitischen Rahmen der EU bevorzugt werden sollten, um sie für die Mitgliedstaaten attraktiv zu machen (d. h. sie sollten bei der Berechnung des zulässigen Nettoausgabenpfads und der in den Artikeln 7 und 8 der Verordnung (EU) 2024/1263 festgelegten Absicherungen ausgenommen werden, sofern die Schuldentragfähigkeit nicht beeinträchtigt wird). Der EWSA fordert die Europäische Kommission und die beiden gesetzgebenden Organe auf, mehr und genauere Informationen zu diesen Darlehensinstrumenten bereitzustellen und sie so zu konzipieren, dass sie für die Mitgliedstaaten haushaltspolitisch attraktiv sind. </w:t>
      </w:r>
    </w:p>
    <w:p w14:paraId="17EE6CC9" w14:textId="77777777" w:rsidR="007F2421" w:rsidRPr="00DE2E00" w:rsidRDefault="007F2421" w:rsidP="000E4172">
      <w:pPr>
        <w:rPr>
          <w:lang w:val="en-GB"/>
        </w:rPr>
      </w:pPr>
    </w:p>
    <w:p w14:paraId="30D01F95" w14:textId="6F46E519" w:rsidR="007F2421" w:rsidRPr="00DE2E00" w:rsidRDefault="007F2421" w:rsidP="000E4172">
      <w:pPr>
        <w:pStyle w:val="Heading2"/>
      </w:pPr>
      <w:r>
        <w:t>Der EWSA begrüßt die Vorschläge der Kommission für neue EU-Eigenmittel sowie für eine Anhebung der Obergrenze. Er ist jedoch der Ansicht, dass die EU ambitionierter sein muss, um einen wirksameren EU-Haushalt zu gewährleisten. Neue Eigenmittel sollten grundsätzlich auf Einnahmen beruhen, die mit den politischen Maßnahmen der EU zusammenhängen. Der EWSA unterstützt den Vorschlag für das Emissionshandelssystem (EHS) und das CO</w:t>
      </w:r>
      <w:r>
        <w:rPr>
          <w:vertAlign w:val="subscript"/>
        </w:rPr>
        <w:t>2</w:t>
      </w:r>
      <w:r w:rsidR="002D29BF">
        <w:noBreakHyphen/>
      </w:r>
      <w:r>
        <w:t>Grenzausgleichssystem, fordert die politischen Entscheidungsträger jedoch nachdrücklich auf, dafür zu sorgen, dass energieintensive Sektoren im Falle von Schwierigkeiten aufgrund hoher Energiekosten kurzfristig die notwendige Unterstützung erhalten, um die Dekarbonisierung zu bewältigen und ihre Tätigkeit bis zu einem Rückgang der Energiepreise aufrechtzuerhalten.</w:t>
      </w:r>
    </w:p>
    <w:p w14:paraId="3B585253" w14:textId="77777777" w:rsidR="007F2421" w:rsidRPr="00DE2E00" w:rsidRDefault="007F2421" w:rsidP="000E4172">
      <w:pPr>
        <w:pStyle w:val="Heading2"/>
        <w:numPr>
          <w:ilvl w:val="0"/>
          <w:numId w:val="0"/>
        </w:numPr>
        <w:rPr>
          <w:lang w:val="en-GB"/>
        </w:rPr>
      </w:pPr>
    </w:p>
    <w:p w14:paraId="465B00A9" w14:textId="77777777" w:rsidR="007F2421" w:rsidRPr="00DE2E00" w:rsidRDefault="007F2421" w:rsidP="000E4172">
      <w:pPr>
        <w:pStyle w:val="Heading2"/>
      </w:pPr>
      <w:r>
        <w:t>Darüber hinaus äußert der EWSA starke Vorbehalte gegenüber dem CORE-Vorschlag</w:t>
      </w:r>
      <w:r w:rsidRPr="00DE2E00">
        <w:rPr>
          <w:rStyle w:val="FootnoteReference"/>
          <w:lang w:val="en-GB"/>
        </w:rPr>
        <w:footnoteReference w:id="8"/>
      </w:r>
      <w:r>
        <w:t>: Es handelt sich erstens um eine umsatz- und nicht gewinnbasierte und zweitens um eine pauschale, also regressive Abgabe. Er empfiehlt der Kommission daher, stattdessen wie ursprünglich geplant erneut einen Vorschlag für eine Digitalsteuer vorzulegen, wobei es die geopolitischen Auswirkungen zu berücksichtigen gilt.</w:t>
      </w:r>
    </w:p>
    <w:p w14:paraId="2C352A50" w14:textId="77777777" w:rsidR="007F2421" w:rsidRPr="00DE2E00" w:rsidRDefault="007F2421" w:rsidP="000E4172">
      <w:pPr>
        <w:numPr>
          <w:ilvl w:val="1"/>
          <w:numId w:val="0"/>
        </w:numPr>
        <w:ind w:left="576" w:hanging="576"/>
        <w:outlineLvl w:val="1"/>
        <w:rPr>
          <w:lang w:val="en-GB"/>
        </w:rPr>
      </w:pPr>
    </w:p>
    <w:p w14:paraId="0EA50D84" w14:textId="77777777" w:rsidR="007F2421" w:rsidRPr="00DE2E00" w:rsidRDefault="007F2421" w:rsidP="000E4172">
      <w:pPr>
        <w:pStyle w:val="Heading2"/>
        <w:rPr>
          <w:color w:val="000000" w:themeColor="text1"/>
        </w:rPr>
      </w:pPr>
      <w:r>
        <w:t>Abschließend vertritt der EWSA grundsätzlich die Auffassung, dass die Einführung neuer Eigenmittel die Wettbewerbsfähigkeit der Wirtschaft der EU, die bereits unter Druck steht, nicht untergraben darf. Dies gilt umso mehr, als die EU gerade Maßnahmen auf den Weg bringt, um ihre Attraktivität als Wirtschaftsstandort wiederherzustellen. Gleichzeitig weist der EWSA darauf hin, dass das soziale Gleichgewicht und die Verteilungsausgewogenheit gewahrt und verbessert werden müssen, und warnt davor, Menschen mit niedrigem und mittlerem Einkommen noch stärker unter Druck zu setzen.</w:t>
      </w:r>
    </w:p>
    <w:p w14:paraId="6D043B3F" w14:textId="77777777" w:rsidR="007F2421" w:rsidRPr="00DE2E00" w:rsidRDefault="007F2421" w:rsidP="000E4172">
      <w:pPr>
        <w:pStyle w:val="Heading2"/>
        <w:numPr>
          <w:ilvl w:val="0"/>
          <w:numId w:val="0"/>
        </w:numPr>
        <w:rPr>
          <w:lang w:val="en-GB"/>
        </w:rPr>
      </w:pPr>
    </w:p>
    <w:p w14:paraId="5661C5DD" w14:textId="77777777" w:rsidR="007F2421" w:rsidRPr="00DE2E00" w:rsidRDefault="007F2421" w:rsidP="000E4172">
      <w:pPr>
        <w:pStyle w:val="Heading2"/>
      </w:pPr>
      <w:r>
        <w:t>Der EWSA begrüßt den Übergang zu einem MFR mit deutlicheren Schwerpunkten. Er weist darauf hin, dass Vereinfachung nicht bedeutet, alle bestehenden Vorschriften in einem einzigen Dokument zusammenzufassen. Eine echte Vereinfachung heißt vielmehr, u. a. Leitlinien, Kontrollsysteme und Belastungen für die Begünstigten einfacher zu gestalten und dabei gleichzeitig für geeignete Kontrollen und Gegenkontrollen zu sorgen, um Betrug und Missbrauch im Interesse aller Begünstigten zu verhindern und die Einhaltung der Sozial- und Umweltstandards zu gewährleisten. Es darf es nicht so sein, dass allein die Kommission und die Mitgliedstaaten Nutzen aus der Vereinfachung und Rationalisierung ziehen, während der zusätzliche Verwaltungsaufwand der regionalen und lokalen Ebene aufgebürdet wird.</w:t>
      </w:r>
    </w:p>
    <w:p w14:paraId="7FF0915D" w14:textId="77777777" w:rsidR="007F2421" w:rsidRPr="00DE2E00" w:rsidRDefault="007F2421" w:rsidP="000E4172">
      <w:pPr>
        <w:rPr>
          <w:lang w:val="en-GB"/>
        </w:rPr>
      </w:pPr>
    </w:p>
    <w:p w14:paraId="4B059412" w14:textId="77777777" w:rsidR="007F2421" w:rsidRPr="00DE2E00" w:rsidRDefault="007F2421" w:rsidP="000E4172">
      <w:pPr>
        <w:pStyle w:val="Heading2"/>
      </w:pPr>
      <w:r>
        <w:t>Der EWSA begrüßt die Streben der EU nach einer Flexibilisierung des neuen Haushalts. Unzureichende Flexibilität hat in der Vergangenheit häufig dazu geführt, dass Programme, insbesondere die Kohäsionsfonds, als Kriseninstrumente zweckentfremdet wurden, so dass sie ihrer Kernaufgabe nicht mehr voll gerecht werden konnten. Jede Entscheidung über die Übertragung von Mitteln zwischen Bereichen sollte der demokratischen Kontrolle unterliegen. Der EWSA fordert, das Europäische Parlament in die Genehmigung von Mittelübertragungen einzubeziehen und vor etwaigen Änderungen die Zustimmung der nationalen und lokalen Behörden, der Sozialpartner und Organisationen der Zivilgesellschaft – insbesondere die der unmittelbar betroffenen Akteure – einzuholen (z. B. über die zuständigen Überwachungsausschüsse).</w:t>
      </w:r>
    </w:p>
    <w:p w14:paraId="300E56F9" w14:textId="77777777" w:rsidR="007F2421" w:rsidRPr="00DE2E00" w:rsidRDefault="007F2421" w:rsidP="000E4172">
      <w:pPr>
        <w:rPr>
          <w:lang w:val="en-GB"/>
        </w:rPr>
      </w:pPr>
    </w:p>
    <w:p w14:paraId="312B5F88" w14:textId="77777777" w:rsidR="007F2421" w:rsidRPr="00DE2E00" w:rsidRDefault="007F2421" w:rsidP="000E4172">
      <w:pPr>
        <w:pStyle w:val="Heading2"/>
      </w:pPr>
      <w:r>
        <w:t>Der EWSA bekräftigt seine Überzeugung, dass ein Mainstreaming-Ansatz im nächsten MFR von zentraler Bedeutung ist, um die in den Leitlinien der Kommission dargelegten gewünschten längerfristigen Ergebnisse und Auswirkungen auf die Gesellschaft zu erreichen. Er begrüßt die Aufnahme der Gleichstellung der Geschlechter als horizontale Konditionalität, bedauert jedoch, dass hierfür im Gegensatz zum Klimaschutz keine verbindlichen Ausgabenziele festgelegt wurden. Der Ausschuss bekräftigt daher seine Forderung nach einer systematischen Berücksichtigung des Gleichstellungsaspekts bei der Haushaltsplanung im MFR, wo dies angezeigt ist.</w:t>
      </w:r>
    </w:p>
    <w:p w14:paraId="67FCAC69" w14:textId="77777777" w:rsidR="007F2421" w:rsidRPr="00DE2E00" w:rsidRDefault="007F2421" w:rsidP="000E4172">
      <w:pPr>
        <w:pStyle w:val="Heading2"/>
        <w:numPr>
          <w:ilvl w:val="0"/>
          <w:numId w:val="0"/>
        </w:numPr>
        <w:rPr>
          <w:lang w:val="en-GB"/>
        </w:rPr>
      </w:pPr>
    </w:p>
    <w:p w14:paraId="636F2756" w14:textId="77777777" w:rsidR="007F2421" w:rsidRPr="00DE2E00" w:rsidRDefault="007F2421" w:rsidP="000E4172">
      <w:pPr>
        <w:pStyle w:val="Heading2"/>
      </w:pPr>
      <w:r>
        <w:t>Der EWSA betont, dass im MFR langfristige strategische Weichenstellungen erfolgen, die tiefgreifende generationenübergreifende Auswirkungen haben. Um Nachhaltigkeit und Fairness über Generationen hinweg zu erreichen, spricht sich der EWSA daher für die Einführung einer „Generationenbilanzierung“ aus, um ein besseres Bewusstsein dafür zu schaffen, wie die Mittel im Rahmen der europäischen, nationalen und lokalen Finanzplanung für die verschiedenen Generationen bereitgestellt werden.</w:t>
      </w:r>
      <w:r w:rsidRPr="00DE2E00">
        <w:rPr>
          <w:rStyle w:val="FootnoteReference"/>
          <w:lang w:val="en-GB"/>
        </w:rPr>
        <w:footnoteReference w:id="9"/>
      </w:r>
    </w:p>
    <w:p w14:paraId="3A44FD5D" w14:textId="77777777" w:rsidR="007F2421" w:rsidRPr="00DE2E00" w:rsidRDefault="007F2421" w:rsidP="000E4172">
      <w:pPr>
        <w:rPr>
          <w:lang w:val="en-GB"/>
        </w:rPr>
      </w:pPr>
    </w:p>
    <w:p w14:paraId="03B89A94" w14:textId="77777777" w:rsidR="007F2421" w:rsidRPr="00DE2E00" w:rsidRDefault="007F2421" w:rsidP="000E4172">
      <w:pPr>
        <w:pStyle w:val="Heading2"/>
      </w:pPr>
      <w:r>
        <w:t xml:space="preserve">Angesichts der dringenden Notwendigkeit, die </w:t>
      </w:r>
      <w:proofErr w:type="spellStart"/>
      <w:r>
        <w:t>Wasserresilienz</w:t>
      </w:r>
      <w:proofErr w:type="spellEnd"/>
      <w:r>
        <w:t xml:space="preserve"> in allen Bereichen der Gesellschaft zu fördern, bekräftigt der EWSA seine Forderung, Wasser als strategische Priorität im MFR vorzusehen Er fordert die EU nachdrücklich auf, die nachhaltige Wassernutzung und die Konditionalität im Zusammenhang mit Wasser als Kriterien in alle EU-Fonds aufzunehmen. Darüber hinaus bekräftigt der EWSA seine Forderung, einen Fonds für den blauen Übergang als </w:t>
      </w:r>
      <w:r>
        <w:lastRenderedPageBreak/>
        <w:t>zentrale europäische Anlaufstelle für wasserbezogene Investitionen einzurichten, bei dem öffentliche Investitionen und innovative Finanzmittel miteinander verknüpft werden.</w:t>
      </w:r>
      <w:r w:rsidRPr="00DE2E00">
        <w:rPr>
          <w:rStyle w:val="FootnoteReference"/>
          <w:lang w:val="en-GB"/>
        </w:rPr>
        <w:footnoteReference w:id="10"/>
      </w:r>
    </w:p>
    <w:p w14:paraId="5C0EBF4F" w14:textId="77777777" w:rsidR="007F2421" w:rsidRPr="00DE2E00" w:rsidRDefault="007F2421" w:rsidP="000E4172">
      <w:pPr>
        <w:pStyle w:val="Heading2"/>
        <w:numPr>
          <w:ilvl w:val="0"/>
          <w:numId w:val="0"/>
        </w:numPr>
        <w:rPr>
          <w:u w:val="single"/>
          <w:lang w:val="en-GB"/>
        </w:rPr>
      </w:pPr>
    </w:p>
    <w:p w14:paraId="3CCE2599" w14:textId="2E533B59" w:rsidR="007F2421" w:rsidRPr="00DE2E00" w:rsidRDefault="007F2421" w:rsidP="000E4172">
      <w:pPr>
        <w:pStyle w:val="Heading2"/>
      </w:pPr>
      <w:r>
        <w:t>Der EWSA unterstützt den Vorschlag, Mittel, die aufgrund anhaltender Verstöße gegen die Rechtsstaatlichkeit oder die Grundrechtecharta abgezogen wurden, in Programme im Rahmen der direkten oder indirekten Mittelverwaltung umzuschichten, um sicherzustellen, dass die EU</w:t>
      </w:r>
      <w:r w:rsidR="002D29BF">
        <w:noBreakHyphen/>
      </w:r>
      <w:r>
        <w:t>Mittel weiterhin ihrem Bestimmungszweck dienen, und die Rolle der EU als Hüterin der demokratischen Werte zu stärken.</w:t>
      </w:r>
    </w:p>
    <w:p w14:paraId="4B8527A3" w14:textId="77777777" w:rsidR="007F2421" w:rsidRPr="00DE2E00" w:rsidRDefault="007F2421" w:rsidP="000E4172">
      <w:pPr>
        <w:rPr>
          <w:lang w:val="en-GB"/>
        </w:rPr>
      </w:pPr>
    </w:p>
    <w:p w14:paraId="4E4E75E0" w14:textId="77777777" w:rsidR="007F2421" w:rsidRPr="00DE2E00" w:rsidRDefault="007F2421" w:rsidP="000E4172">
      <w:pPr>
        <w:pStyle w:val="Heading1"/>
        <w:keepNext/>
      </w:pPr>
      <w:r>
        <w:rPr>
          <w:b/>
        </w:rPr>
        <w:t>Rubrik 1: Der Multifonds mit den Nationalen und regionalen Partnerschaftsplänen (NRPP)</w:t>
      </w:r>
    </w:p>
    <w:p w14:paraId="330CEE2A" w14:textId="77777777" w:rsidR="007F2421" w:rsidRPr="00DE2E00" w:rsidRDefault="007F2421" w:rsidP="000E4172">
      <w:pPr>
        <w:pStyle w:val="Heading3"/>
        <w:keepNext/>
        <w:numPr>
          <w:ilvl w:val="0"/>
          <w:numId w:val="0"/>
        </w:numPr>
        <w:rPr>
          <w:lang w:val="en-GB"/>
        </w:rPr>
      </w:pPr>
    </w:p>
    <w:p w14:paraId="1219884B" w14:textId="77777777" w:rsidR="007F2421" w:rsidRPr="00DE2E00" w:rsidRDefault="007F2421" w:rsidP="000E4172">
      <w:pPr>
        <w:pStyle w:val="Heading2"/>
      </w:pPr>
      <w:r>
        <w:t>Die Kohäsionspolitik hat sich seit langem als zentrales Instrument der EU zur Förderung eines widerstandsfähigen und wettbewerbsfähigen Binnenmarkts, einer ausgewogenen regionalen Entwicklung und des gemeinsamen Wohlstands bewährt. Ebenso hat sich der Europäische Sozialfonds+ als unerlässlich erwiesen, um in Menschen und hochqualifizierte Arbeitskräfte zu investieren, Produktivität und Innovation zu fördern und Europas soziale Marktwirtschaft zu stärken. Die Kohäsionspolitik, deren Wirksamkeit durchaus verbessert werden kann, hat in erheblichem Maße zur wirtschaftlichen Entwicklung in weniger entwickelten Regionen sowie zu modernisierten Infrastrukturen und Innovationen beigetragen und wirkt daher als Motor für die Steigerung der Wettbewerbsfähigkeit der EU-Wirtschaft.</w:t>
      </w:r>
      <w:r w:rsidRPr="00DE2E00">
        <w:rPr>
          <w:rStyle w:val="FootnoteReference"/>
          <w:lang w:val="en-GB"/>
        </w:rPr>
        <w:footnoteReference w:id="11"/>
      </w:r>
    </w:p>
    <w:p w14:paraId="788E6036" w14:textId="77777777" w:rsidR="007F2421" w:rsidRPr="00DE2E00" w:rsidRDefault="007F2421" w:rsidP="000E4172">
      <w:pPr>
        <w:pStyle w:val="Heading3"/>
        <w:numPr>
          <w:ilvl w:val="0"/>
          <w:numId w:val="0"/>
        </w:numPr>
        <w:rPr>
          <w:lang w:val="en-GB"/>
        </w:rPr>
      </w:pPr>
    </w:p>
    <w:p w14:paraId="090DF5F3" w14:textId="77777777" w:rsidR="007F2421" w:rsidRPr="00DE2E00" w:rsidRDefault="007F2421" w:rsidP="000E4172">
      <w:pPr>
        <w:pStyle w:val="Heading2"/>
      </w:pPr>
      <w:r>
        <w:t>Der EWSA betont ferner, dass eine starke und wirksame Kohäsionspolitik auch entscheidend dazu beiträgt, der zunehmenden politischen Polarisierung entgegenzuwirken und eine stärkere öffentliche Unterstützung für die Europäische Union zu erhalten.</w:t>
      </w:r>
    </w:p>
    <w:p w14:paraId="77A12857" w14:textId="77777777" w:rsidR="007F2421" w:rsidRPr="00DE2E00" w:rsidRDefault="007F2421" w:rsidP="000E4172">
      <w:pPr>
        <w:pStyle w:val="Heading2"/>
        <w:numPr>
          <w:ilvl w:val="0"/>
          <w:numId w:val="0"/>
        </w:numPr>
        <w:rPr>
          <w:highlight w:val="yellow"/>
          <w:lang w:val="en-GB"/>
        </w:rPr>
      </w:pPr>
    </w:p>
    <w:p w14:paraId="7C95933A" w14:textId="77777777" w:rsidR="007F2421" w:rsidRPr="00DE2E00" w:rsidRDefault="007F2421" w:rsidP="000E4172">
      <w:pPr>
        <w:pStyle w:val="Heading2"/>
      </w:pPr>
      <w:r>
        <w:t>Er lehnt daher die vorgeschlagene Kürzung der Mittel für die Kohäsionspolitik (und die Gemeinsame Agrarpolitik – GAP) im nächsten MFR entschieden ab. Der EWSA fordert vielmehr eine höhere Mittelausstattung, die teilweise durch die Umwandlung des vorgeschlagenen Programms „</w:t>
      </w:r>
      <w:proofErr w:type="spellStart"/>
      <w:r>
        <w:t>Catalyst</w:t>
      </w:r>
      <w:proofErr w:type="spellEnd"/>
      <w:r>
        <w:t xml:space="preserve"> Europe“ von einer Darlehensfazilität in ein zuschussbasiertes Instrument finanziert werden könnte.</w:t>
      </w:r>
    </w:p>
    <w:p w14:paraId="113E2191" w14:textId="77777777" w:rsidR="007F2421" w:rsidRPr="00DE2E00" w:rsidRDefault="007F2421" w:rsidP="000E4172">
      <w:pPr>
        <w:pStyle w:val="Heading2"/>
        <w:numPr>
          <w:ilvl w:val="0"/>
          <w:numId w:val="0"/>
        </w:numPr>
        <w:rPr>
          <w:lang w:val="en-GB"/>
        </w:rPr>
      </w:pPr>
    </w:p>
    <w:p w14:paraId="179A7725" w14:textId="77777777" w:rsidR="007F2421" w:rsidRPr="00DE2E00" w:rsidRDefault="007F2421" w:rsidP="000E4172">
      <w:pPr>
        <w:pStyle w:val="Heading2"/>
      </w:pPr>
      <w:r>
        <w:t xml:space="preserve">Der EWSA lehnt den Vorschlag ab, die Mittel für die Kohäsionspolitik, den ESF+, die GAP, die Fischerei, Migration und Sicherheit wie derzeit geplant in einem einzigen Fonds zusammenzuführen. Er weist darauf hin, dass eine derartige strukturelle Änderung Verteilungskonflikte anheizen könnte und dass die Ziele des Zusammenhalts, der sozialen Entwicklung und der ländlichen Entwicklung dann durch kurzfristige Prioritäten in den Bereichen Sicherheit und Migration ins Abseits geraten könnten. Dies wird die Endbegünstigten, die Sozialpartner und die Akteure der Zivilgesellschaft schwächen, die auf Planungssicherheit und stabile Finanzierungsstrukturen angewiesen sind. Der EWSA plädiert daher für eine eingehende und strukturelle Überarbeitung der Multifonds-Architektur, um die Vorhersehbarkeit und Autonomie der zentralen Ausgabenprogramme zu gewährleisten. </w:t>
      </w:r>
    </w:p>
    <w:p w14:paraId="1BD97426" w14:textId="77777777" w:rsidR="007F2421" w:rsidRPr="00DE2E00" w:rsidRDefault="007F2421" w:rsidP="000E4172">
      <w:pPr>
        <w:pStyle w:val="Heading2"/>
        <w:numPr>
          <w:ilvl w:val="0"/>
          <w:numId w:val="0"/>
        </w:numPr>
        <w:rPr>
          <w:lang w:val="en-GB"/>
        </w:rPr>
      </w:pPr>
    </w:p>
    <w:p w14:paraId="0049A801" w14:textId="77777777" w:rsidR="007F2421" w:rsidRPr="00DE2E00" w:rsidRDefault="007F2421" w:rsidP="000E4172">
      <w:pPr>
        <w:pStyle w:val="Heading2"/>
      </w:pPr>
      <w:r>
        <w:t>Es gilt sicherzustellen, dass alle Interessenträger auf allen Ebenen wirksam in die Entscheidungsfindung über strategische Prioritäten, Programme, Indikatoren und in die Bewertung der Ergebnisse einbezogen werden und daran mitwirken. Nach Ansicht des EWSA sieht die Multifonds-Verordnung keine geeigneten und verbindlichen Mechanismen für eine wirksame Einbeziehung der Interessenträger vor. Daher sollte ein Beschwerdeverfahren für Interessenträger eingerichtet werden. Wenn die Regierungen die Interessenträger nicht wirksam einbeziehen, müssen angemessene Konditionalitäten und Schutzmechanismen greifen, um die Beteiligung zu verbessern.</w:t>
      </w:r>
    </w:p>
    <w:p w14:paraId="24BEEBCE" w14:textId="77777777" w:rsidR="007F2421" w:rsidRPr="00DE2E00" w:rsidRDefault="007F2421" w:rsidP="000E4172">
      <w:pPr>
        <w:rPr>
          <w:lang w:val="en-GB"/>
        </w:rPr>
      </w:pPr>
    </w:p>
    <w:p w14:paraId="4B691594" w14:textId="77777777" w:rsidR="007F2421" w:rsidRPr="00DE2E00" w:rsidRDefault="007F2421" w:rsidP="000E4172">
      <w:pPr>
        <w:pStyle w:val="Heading2"/>
      </w:pPr>
      <w:r>
        <w:t xml:space="preserve">Der EWSA fordert die beiden gesetzgebenden Organe nachdrücklich auf, den Vorschlag so zu ändern, dass die wirksame und tatsächliche Anwendung des Partnerschaftsprinzips gestärkt wird: horizontal durch die Koordinierung von Programmen, Akteuren und Instrumenten, vertikal gemäß dem Subsidiaritätsprinzip und territorial mit den regionalen und lokalen Akteuren, den Sozialpartnern und der Zivilgesellschaft im weiteren Sinne im Einklang mit einem ortsbezogenen Ansatz. Zu diesem Zweck muss der derzeitige Verhaltenskodex für Partnerschaften verbessert werden. Alle genannten Interessenträger sollten in den Überwachungsausschüssen eine Schlüsselrolle spielen. Darüber hinaus müssen Mittel für den Kapazitätsaufbau und technische Hilfe bereitgestellt werden. </w:t>
      </w:r>
    </w:p>
    <w:p w14:paraId="196DAB88" w14:textId="77777777" w:rsidR="007F2421" w:rsidRPr="00DE2E00" w:rsidRDefault="007F2421" w:rsidP="000E4172">
      <w:pPr>
        <w:pStyle w:val="Heading3"/>
        <w:numPr>
          <w:ilvl w:val="0"/>
          <w:numId w:val="0"/>
        </w:numPr>
        <w:rPr>
          <w:lang w:val="en-GB"/>
        </w:rPr>
      </w:pPr>
    </w:p>
    <w:p w14:paraId="1F5A2EF0" w14:textId="77777777" w:rsidR="007F2421" w:rsidRPr="00DE2E00" w:rsidRDefault="007F2421" w:rsidP="000E4172">
      <w:pPr>
        <w:pStyle w:val="Heading2"/>
      </w:pPr>
      <w:r>
        <w:t>Der EWSA begrüßt den angekündigten leistungsorientierten Ansatz, den er bereits in früheren Stellungnahmen</w:t>
      </w:r>
      <w:r w:rsidRPr="00DE2E00">
        <w:rPr>
          <w:rStyle w:val="FootnoteReference"/>
          <w:lang w:val="en-GB"/>
        </w:rPr>
        <w:footnoteReference w:id="12"/>
      </w:r>
      <w:r>
        <w:t xml:space="preserve"> eingefordert hatte. Die nationalen Haushalte und EU-Mittel müssen in ein ganzheitliches </w:t>
      </w:r>
      <w:proofErr w:type="spellStart"/>
      <w:r>
        <w:t>Governance</w:t>
      </w:r>
      <w:proofErr w:type="spellEnd"/>
      <w:r>
        <w:t>- und Evaluierungskonzept eingebettet werden, das auf einen entschiedenen Übergang zu einem ökologisch, wirtschaftlich und sozial nachhaltigen und wettbewerbsfähigen Modell für die gesamte EU ausgerichtet ist.</w:t>
      </w:r>
    </w:p>
    <w:p w14:paraId="61C77F4F" w14:textId="77777777" w:rsidR="007F2421" w:rsidRPr="00DE2E00" w:rsidRDefault="007F2421" w:rsidP="000E4172">
      <w:pPr>
        <w:rPr>
          <w:lang w:val="en-GB"/>
        </w:rPr>
      </w:pPr>
    </w:p>
    <w:p w14:paraId="3D6BD689" w14:textId="77777777" w:rsidR="007F2421" w:rsidRPr="00DE2E00" w:rsidRDefault="007F2421" w:rsidP="000E4172">
      <w:pPr>
        <w:pStyle w:val="Heading2"/>
      </w:pPr>
      <w:r>
        <w:t>Der EWSA weist darauf hin, dass die Kohäsionspolitik im derzeitigen MFR das Instrument mit dem höchsten Anteil an ergebnisorientierter Haushaltsplanung ist. Mit Blick auf ein wirksameres System fordert der EWSA die Kommission auf, die von der Gemeinsamen Forschungsstelle (JRC) in ihrer jüngsten Mitteilung „</w:t>
      </w:r>
      <w:proofErr w:type="spellStart"/>
      <w:r>
        <w:t>Measuring</w:t>
      </w:r>
      <w:proofErr w:type="spellEnd"/>
      <w:r>
        <w:t xml:space="preserve"> </w:t>
      </w:r>
      <w:proofErr w:type="spellStart"/>
      <w:r>
        <w:t>sustainable</w:t>
      </w:r>
      <w:proofErr w:type="spellEnd"/>
      <w:r>
        <w:t xml:space="preserve"> and inclusive </w:t>
      </w:r>
      <w:proofErr w:type="spellStart"/>
      <w:r>
        <w:t>wellbeing</w:t>
      </w:r>
      <w:proofErr w:type="spellEnd"/>
      <w:r>
        <w:t xml:space="preserve">: a multidimensional </w:t>
      </w:r>
      <w:proofErr w:type="spellStart"/>
      <w:r>
        <w:t>dashboard</w:t>
      </w:r>
      <w:proofErr w:type="spellEnd"/>
      <w:r>
        <w:t xml:space="preserve"> </w:t>
      </w:r>
      <w:proofErr w:type="spellStart"/>
      <w:r>
        <w:t>approach</w:t>
      </w:r>
      <w:proofErr w:type="spellEnd"/>
      <w:r>
        <w:t>“</w:t>
      </w:r>
      <w:r w:rsidRPr="00DE2E00">
        <w:rPr>
          <w:rStyle w:val="FootnoteReference"/>
          <w:lang w:val="en-GB"/>
        </w:rPr>
        <w:footnoteReference w:id="13"/>
      </w:r>
      <w:r>
        <w:t xml:space="preserve"> vorgeschlagenen Indikatoren für das Wohlergehen einzuführen.</w:t>
      </w:r>
    </w:p>
    <w:p w14:paraId="6D1221A1" w14:textId="77777777" w:rsidR="007F2421" w:rsidRPr="00DE2E00" w:rsidRDefault="007F2421" w:rsidP="000E4172">
      <w:pPr>
        <w:rPr>
          <w:lang w:val="en-GB"/>
        </w:rPr>
      </w:pPr>
    </w:p>
    <w:p w14:paraId="6BA111D9" w14:textId="77777777" w:rsidR="007F2421" w:rsidRPr="00DE2E00" w:rsidRDefault="007F2421" w:rsidP="000E4172">
      <w:pPr>
        <w:pStyle w:val="Heading2"/>
      </w:pPr>
      <w:r>
        <w:t xml:space="preserve">Der Ausschuss weist ausgehend von den Erfahrungen mit der laufenden Aufbau- und </w:t>
      </w:r>
      <w:proofErr w:type="spellStart"/>
      <w:r>
        <w:t>Resilienzfazilität</w:t>
      </w:r>
      <w:proofErr w:type="spellEnd"/>
      <w:r>
        <w:t xml:space="preserve"> (ARF) und im Einklang mit dem Europäischen Rechnungshof</w:t>
      </w:r>
      <w:r w:rsidRPr="00DE2E00">
        <w:rPr>
          <w:rStyle w:val="FootnoteReference"/>
          <w:lang w:val="en-GB"/>
        </w:rPr>
        <w:footnoteReference w:id="14"/>
      </w:r>
      <w:r>
        <w:t xml:space="preserve"> darauf hin, dass ausschließlich auf Etappenzielen basierende Auszahlungen dazu führen können, dass der Schwerpunkt eher auf der Einhaltung von Verfahren als auf tatsächlichen und strukturellen Ergebnissen liegt. Die Indikatoren zur Messung von Leistung müssen eindeutig mit den in der Fondsverordnung festgelegten politischen Zielen verknüpft sein und sollten bereits vorab in die Gestaltung der NRPP einbezogen werden. </w:t>
      </w:r>
    </w:p>
    <w:p w14:paraId="1D36B57C" w14:textId="77777777" w:rsidR="007F2421" w:rsidRPr="00DE2E00" w:rsidRDefault="007F2421" w:rsidP="000E4172">
      <w:pPr>
        <w:pStyle w:val="Heading2"/>
        <w:numPr>
          <w:ilvl w:val="0"/>
          <w:numId w:val="0"/>
        </w:numPr>
        <w:rPr>
          <w:lang w:val="en-GB"/>
        </w:rPr>
      </w:pPr>
    </w:p>
    <w:p w14:paraId="56DD0F11" w14:textId="77777777" w:rsidR="007F2421" w:rsidRPr="00DE2E00" w:rsidRDefault="007F2421" w:rsidP="000E4172">
      <w:pPr>
        <w:pStyle w:val="Heading2"/>
      </w:pPr>
      <w:r>
        <w:t xml:space="preserve">Der EWSA stellt fest, dass die in Artikel 20 der Verordnung festgelegten Anforderungen an die NRPP zu vielfältig und komplex sind. Er fordert daher die beiden gesetzgebenden Organe auf, die Liste der Anforderungen zu überarbeiten und gezielter vorzugehen, um die Leistung und die Ergebnisse des Fonds wirksam überwachen zu können. </w:t>
      </w:r>
    </w:p>
    <w:p w14:paraId="7997E1C7" w14:textId="77777777" w:rsidR="007F2421" w:rsidRPr="00DE2E00" w:rsidRDefault="007F2421" w:rsidP="000E4172">
      <w:pPr>
        <w:pStyle w:val="Heading2"/>
        <w:numPr>
          <w:ilvl w:val="0"/>
          <w:numId w:val="0"/>
        </w:numPr>
        <w:rPr>
          <w:lang w:val="en-GB"/>
        </w:rPr>
      </w:pPr>
    </w:p>
    <w:p w14:paraId="52BD90FE" w14:textId="77777777" w:rsidR="007F2421" w:rsidRPr="00DE2E00" w:rsidRDefault="007F2421" w:rsidP="000E4172">
      <w:pPr>
        <w:pStyle w:val="Heading2"/>
      </w:pPr>
      <w:r>
        <w:t xml:space="preserve">Die angekündigten Verknüpfung des künftigen MFR mit dem Europäischen Semester und dem Instrument zur Koordinierung der Wettbewerbsfähigkeit muss eingehend analysiert werden. Der EWSA fordert die Europäische Kommission auf, so bald wie möglich einen konkreten Vorschlag vorzulegen, damit die Interessenträger Klarheit über die künftige </w:t>
      </w:r>
      <w:proofErr w:type="spellStart"/>
      <w:r>
        <w:t>Governance</w:t>
      </w:r>
      <w:proofErr w:type="spellEnd"/>
      <w:r>
        <w:t xml:space="preserve"> der EU-Haushaltspolitik erhalten. In diesem Zusammenhang betont der EWSA, dass eine ausgewogenes Verhältnis zwischen den verschiedenen politischen Ziele erreicht werden muss.</w:t>
      </w:r>
    </w:p>
    <w:p w14:paraId="4D704A4C" w14:textId="77777777" w:rsidR="007F2421" w:rsidRPr="00DE2E00" w:rsidRDefault="007F2421" w:rsidP="000E4172">
      <w:pPr>
        <w:pStyle w:val="Heading2"/>
        <w:numPr>
          <w:ilvl w:val="0"/>
          <w:numId w:val="0"/>
        </w:numPr>
        <w:rPr>
          <w:lang w:val="en-GB"/>
        </w:rPr>
      </w:pPr>
    </w:p>
    <w:p w14:paraId="67DF2045" w14:textId="77777777" w:rsidR="007F2421" w:rsidRPr="00DE2E00" w:rsidRDefault="007F2421" w:rsidP="000E4172">
      <w:pPr>
        <w:pStyle w:val="Heading2"/>
      </w:pPr>
      <w:r>
        <w:t>Der EWSA lehnt jegliche Form der makroökonomischen Konditionalität in den NRPP ab. Aus diesem Grund kritisiert der Ausschuss insbesondere die Anforderung, dass die NRPP dazu beitragen sollten, alle oder einen wesentlichen Teil der im Rahmen des Europäischen Semesters ermittelten Herausforderungen wirksam zu bewältigen (Artikel 22 Absatz 2 Buchstabe b Ziffer i). Die Auszahlung von EU-Mitteln darf nicht an davon losgelöste Strukturreformvorschläge geknüpft werden. Die positive Ex-ante-Konditionalität, mit der die Ergebnisse bei der Verringerung von Ungleichheiten als inhärentes Ziel der Kohäsionspolitik sichergestellt werden, muss jedoch im Einklang mit den Politischen Leitlinien der Europäischen Kommission 2024-2029</w:t>
      </w:r>
      <w:r w:rsidRPr="00DE2E00">
        <w:rPr>
          <w:rStyle w:val="FootnoteReference"/>
          <w:szCs w:val="24"/>
          <w:lang w:val="en-GB"/>
        </w:rPr>
        <w:footnoteReference w:id="15"/>
      </w:r>
      <w:r>
        <w:t xml:space="preserve"> gestärkt werden.</w:t>
      </w:r>
    </w:p>
    <w:p w14:paraId="75E5EF06" w14:textId="77777777" w:rsidR="007F2421" w:rsidRPr="00DE2E00" w:rsidRDefault="007F2421" w:rsidP="000E4172">
      <w:pPr>
        <w:pStyle w:val="Heading2"/>
        <w:numPr>
          <w:ilvl w:val="0"/>
          <w:numId w:val="0"/>
        </w:numPr>
        <w:rPr>
          <w:lang w:val="en-GB"/>
        </w:rPr>
      </w:pPr>
    </w:p>
    <w:p w14:paraId="110FB1F8" w14:textId="77777777" w:rsidR="007F2421" w:rsidRPr="00DE2E00" w:rsidRDefault="007F2421" w:rsidP="000E4172">
      <w:pPr>
        <w:pStyle w:val="Heading2"/>
      </w:pPr>
      <w:r>
        <w:t>Für den EWSA ist daher die Bestimmung in Artikel 20 Absatz 2, in der die Kommission vorschlägt, dass die NRPP mit den mittelfristigen strukturellen finanzpolitischen Plänen gemäß der Verordnung (EU) 2024/1263 in Einklang stehen sollten, nur akzeptabel, wenn wesentliche verfahrenstechnische Verbesserungen vorgenommen werden. Es muss sichergestellt werden, dass alle betroffenen Akteure (EU-Institutionen, nationale Regierungen, Parlamente, Gebietskörperschaften, Sozialpartner und Organisationen der Zivilgesellschaft) angemessen einbezogen werden. Der EWSA hat wiederholt auf die wachsende Rolle des Europäischen Semesters als Schlüsselinstrument für die wirtschaftspolitische Steuerung und die Haushaltspolitik der EU hingewiesen und diesbezüglich grundlegende Verfahrensreformen gefordert.</w:t>
      </w:r>
      <w:r w:rsidRPr="00DE2E00">
        <w:rPr>
          <w:rStyle w:val="FootnoteReference"/>
          <w:lang w:val="en-GB"/>
        </w:rPr>
        <w:footnoteReference w:id="16"/>
      </w:r>
      <w:r>
        <w:t xml:space="preserve"> Konkret fordert der EWSA eine neue, stärkere und strukturiertere interinstitutionelle Vereinbarung über die wirksame Einbeziehung aller relevanten Interessenträger in der EU, einschließlich derjenigen in den Regionen.</w:t>
      </w:r>
    </w:p>
    <w:p w14:paraId="222B2314" w14:textId="77777777" w:rsidR="007F2421" w:rsidRPr="00DE2E00" w:rsidRDefault="007F2421" w:rsidP="000E4172">
      <w:pPr>
        <w:rPr>
          <w:lang w:val="en-GB"/>
        </w:rPr>
      </w:pPr>
    </w:p>
    <w:p w14:paraId="6BED81A4" w14:textId="77777777" w:rsidR="007F2421" w:rsidRPr="00DE2E00" w:rsidRDefault="007F2421" w:rsidP="000E4172">
      <w:pPr>
        <w:pStyle w:val="Heading2"/>
      </w:pPr>
      <w:r>
        <w:t xml:space="preserve">Nach Ansicht des EWSA sollte der nächste MFR die wirksame Finanzierung der Umsetzung der europäischen Säule sozialer Rechte gewährleisten, wie es der Europäische Rat in seinen Schlussfolgerungen vom 21. Juli 2020 gefordert hatte. Um dieses Ziel zu erreichen, muss der ESF+ im künftigen MFR als eigenständiger Ausgabenbereich mit aufgestockter Mittelausstattung beibehalten werden. Der ESF+ ist von entscheidender Bedeutung: er ist das wichtigste Instrument zur Förderung von Beschäftigung und allgemeiner und beruflicher Bildung sowie zur Bekämpfung von Ungleichheiten und steigenden Lebenshaltungskosten, </w:t>
      </w:r>
      <w:r>
        <w:lastRenderedPageBreak/>
        <w:t>unter denen insbesondere die schwächsten Bevölkerungsteile leiden. Der EWSA hält überdies die Definition für die Sozialausgaben in der Leistungsverordnung für zu weit gefasst und fordert die Kommission auf, ihren Vorschlag dahingehend zu ändern, dass die derzeitigen zentralen Finanzierungsprioritäten des ESF+ wie soziale Inklusion, Qualifizierung und Aus- und Weiterbildung sowie die Rolle der Organisationen der Zivilgesellschaft und der Sozialpartner erhalten bleiben.</w:t>
      </w:r>
    </w:p>
    <w:p w14:paraId="11936672" w14:textId="77777777" w:rsidR="007F2421" w:rsidRPr="00DE2E00" w:rsidRDefault="007F2421" w:rsidP="000E4172">
      <w:pPr>
        <w:rPr>
          <w:lang w:val="en-GB"/>
        </w:rPr>
      </w:pPr>
    </w:p>
    <w:p w14:paraId="5ECDCC40" w14:textId="77777777" w:rsidR="007F2421" w:rsidRPr="00DE2E00" w:rsidRDefault="007F2421" w:rsidP="000E4172">
      <w:pPr>
        <w:pStyle w:val="Heading2"/>
      </w:pPr>
      <w:r>
        <w:t>Er warnt davor, das Konzept des gerechten Übergangs auf die technische Dekarbonisierung der Industrie zu reduzieren, wie das aus der derzeitigen Gestaltung des MFR, einschließlich der NRPP, hervorgeht. Der Fonds für einen gerechten Übergang sollte als eigenständiges Instrument mit aufgestockten Mitteln beibehalten werden, um dem Fachkräftemangel entgegenzuwirken und einen fairen und inklusiven Übergang zu gewährleisten.</w:t>
      </w:r>
    </w:p>
    <w:p w14:paraId="18218CDE" w14:textId="77777777" w:rsidR="007F2421" w:rsidRPr="00DE2E00" w:rsidRDefault="007F2421" w:rsidP="000E4172">
      <w:pPr>
        <w:pStyle w:val="Heading2"/>
        <w:numPr>
          <w:ilvl w:val="0"/>
          <w:numId w:val="0"/>
        </w:numPr>
        <w:rPr>
          <w:lang w:val="en-GB"/>
        </w:rPr>
      </w:pPr>
    </w:p>
    <w:p w14:paraId="5A25DD6A" w14:textId="77777777" w:rsidR="007F2421" w:rsidRPr="00DE2E00" w:rsidRDefault="007F2421" w:rsidP="000E4172">
      <w:pPr>
        <w:pStyle w:val="Heading2"/>
      </w:pPr>
      <w:r>
        <w:t xml:space="preserve">Der EWSA schlägt vor, die Auszahlung von Mitteln gemäß der Multifonds-Verordnung von sozialen Kriterien abhängig zu machen, wie dies im EU-Recht und im nationalen Recht vorgesehen ist, wobei es die Besonderheiten der Mitgliedstaaten zu berücksichtigen gilt. Diese sozialen Kriterien sollten im Hinblick auf ihre Praxistauglichkeit von den nationalen Sozialpartnern entwickelt und vereinbart werden und können Standort- und Beschäftigungsgarantien, Qualifizierungs- und Ausbildungsmaßnahmen oder die Einhaltung von Tarifverträgen umfassen. In einigen Mitgliedstaaten gibt es bereits Beispiele dafür. Die sozialen Kriterien sollten den verschiedenen Arten des sozialen Dialogs in den Mitgliedstaaten Rechnung tragen und dürfen nicht zur unzulässigen Diskriminierung bestimmter Unternehmensformen oder Mitgliedstaaten führen. Darüber hinaus darf den Unternehmen durch diese sozialen Kriterien kein unnötiger Verwaltungsaufwand entstehen. Die Beispiele aus den Mitgliedstaaten zeigen, dass durch die Knüpfung der öffentlichen Finanzierung an soziale Kriterien die notwendige Umgestaltung der Wirtschaft zu einem konsequent auf die Schaffung und Erhaltung guter Arbeitsplätze ausgerichteten Wirtschaftssystem gefördert werden kann, wodurch die Akzeptanz für den grünen Wandel erhöht wird. </w:t>
      </w:r>
    </w:p>
    <w:p w14:paraId="79AC1142" w14:textId="77777777" w:rsidR="007F2421" w:rsidRPr="00DE2E00" w:rsidRDefault="007F2421" w:rsidP="000E4172">
      <w:pPr>
        <w:pStyle w:val="Heading2"/>
        <w:numPr>
          <w:ilvl w:val="0"/>
          <w:numId w:val="0"/>
        </w:numPr>
        <w:rPr>
          <w:lang w:val="en-GB"/>
        </w:rPr>
      </w:pPr>
    </w:p>
    <w:p w14:paraId="591F0471" w14:textId="77777777" w:rsidR="007F2421" w:rsidRPr="00DE2E00" w:rsidRDefault="007F2421" w:rsidP="000E4172">
      <w:pPr>
        <w:pStyle w:val="Heading2"/>
      </w:pPr>
      <w:r>
        <w:t>Der EWSA bringt seine Besorgnis darüber zum Ausdruck, dass in Zukunft nur Investitionen in weniger entwickelten Regionen finanziell unterstützt werden könnten. Wenn die EU in der Zukunft wettbewerbsfähig sein will, muss in allen Regionen investiert werden. Ohne gezielte Unterstützung für Übergangsregionen könnte der seit langem bewährte proaktive Ansatz der EU-Kohäsionspolitik untergraben werden. Der EWSA fordert die Kommission nachdrücklich auf, zweckgebundene Finanzierung für alle Regionen bereitzustellen, um Planungssicherheit und Chancen für eine nachhaltige Entwicklung für jede Region sicherzustellen.</w:t>
      </w:r>
    </w:p>
    <w:p w14:paraId="15FA3972" w14:textId="77777777" w:rsidR="007F2421" w:rsidRPr="00DE2E00" w:rsidRDefault="007F2421" w:rsidP="000E4172">
      <w:pPr>
        <w:pStyle w:val="Heading2"/>
        <w:numPr>
          <w:ilvl w:val="0"/>
          <w:numId w:val="0"/>
        </w:numPr>
        <w:rPr>
          <w:lang w:val="en-GB"/>
        </w:rPr>
      </w:pPr>
    </w:p>
    <w:p w14:paraId="3B7A8E73" w14:textId="77777777" w:rsidR="007F2421" w:rsidRPr="00DE2E00" w:rsidRDefault="007F2421" w:rsidP="000E4172">
      <w:pPr>
        <w:pStyle w:val="Heading2"/>
        <w:rPr>
          <w:rFonts w:cstheme="minorHAnsi"/>
        </w:rPr>
      </w:pPr>
      <w:r>
        <w:t xml:space="preserve">Angesichts der derzeitigen Herausforderungen und des politischen Ziels, ein widerstandsfähiges und demokratisches Europa aufzubauen, muss diese Vision in den Finanzplänen klar hervortreten und müssen ausreichende Haushaltsmittel für Maßnahmen bereitgestellt werden, die derzeit in den Programmen „Bürgerinnen und Bürger, Gleichstellung, Rechte und Werte“ (Schwerpunkt Finanzierung von Jugendorganisationen/jugendspezifischen Initiativen), </w:t>
      </w:r>
      <w:proofErr w:type="spellStart"/>
      <w:r>
        <w:t>AgoraEU</w:t>
      </w:r>
      <w:proofErr w:type="spellEnd"/>
      <w:r>
        <w:t xml:space="preserve">, Erasmus+ und anderen enthalten sind. Ebenso sollte in den Finanzplänen die Rolle des ESF+ angemessen zum Ausdruck kommen. Der ESF+ ist ein Schlüsselinstrument zur Förderung von Investitionen im Bereich Soziales und zur Wahrung der Interessen und Bedürfnisse verschiedener gesellschaftlicher Gruppen, insbesondere der am stärksten </w:t>
      </w:r>
      <w:r>
        <w:lastRenderedPageBreak/>
        <w:t>gefährdeten Gruppen, wie Menschen mit Behinderungen gemäß dem Übereinkommen über die Rechte von Menschen mit Behinderungen.</w:t>
      </w:r>
    </w:p>
    <w:p w14:paraId="67B7A8EB" w14:textId="77777777" w:rsidR="007F2421" w:rsidRPr="00DE2E00" w:rsidRDefault="007F2421" w:rsidP="000E4172">
      <w:pPr>
        <w:rPr>
          <w:lang w:val="en-GB"/>
        </w:rPr>
      </w:pPr>
    </w:p>
    <w:p w14:paraId="0BD822BB" w14:textId="77777777" w:rsidR="007F2421" w:rsidRPr="00DE2E00" w:rsidRDefault="007F2421" w:rsidP="000E4172">
      <w:pPr>
        <w:pStyle w:val="Heading1"/>
        <w:keepNext/>
      </w:pPr>
      <w:r>
        <w:rPr>
          <w:b/>
        </w:rPr>
        <w:t>Rubrik 2: Wettbewerbsfähigkeit</w:t>
      </w:r>
    </w:p>
    <w:p w14:paraId="7DB90DDC" w14:textId="77777777" w:rsidR="007F2421" w:rsidRPr="00DE2E00" w:rsidRDefault="007F2421" w:rsidP="000E4172">
      <w:pPr>
        <w:keepNext/>
        <w:rPr>
          <w:lang w:val="en-GB"/>
        </w:rPr>
      </w:pPr>
    </w:p>
    <w:p w14:paraId="3F55BE63" w14:textId="36CB5200" w:rsidR="007F2421" w:rsidRPr="00DE2E00" w:rsidRDefault="007F2421" w:rsidP="000E4172">
      <w:pPr>
        <w:pStyle w:val="Heading2"/>
      </w:pPr>
      <w:r>
        <w:t xml:space="preserve">Der EWSA begrüßt die starke Ausrichtung auf die Wettbewerbsfähigkeit im nächsten MFR und hält dies für einen wichtigen Meilenstein bei der Gestaltung einer europäischen Strategie, die Forschung und Innovation als zentrale Faktoren des Wachstums ansieht. Dieser Ansatz muss die Ressourcen der EU für nachhaltiges internes Wachstum stärken und zum Aufbau einer strategischen Autonomie beitragen. Dazu sind gezielte Instrumente notwendig, um die Wertschöpfungsketten in der EU zu stärken, die Entwicklung und Innovation von Unternehmen zu fördern sowie private Investitionen in die </w:t>
      </w:r>
      <w:proofErr w:type="spellStart"/>
      <w:r>
        <w:t>Wasserresilienz</w:t>
      </w:r>
      <w:proofErr w:type="spellEnd"/>
      <w:r>
        <w:t xml:space="preserve"> und den ökologischen und digitalen Wandel zu mobilisieren.</w:t>
      </w:r>
    </w:p>
    <w:p w14:paraId="5775B368" w14:textId="77777777" w:rsidR="007F2421" w:rsidRPr="00DE2E00" w:rsidRDefault="007F2421" w:rsidP="000E4172">
      <w:pPr>
        <w:pStyle w:val="Heading3"/>
        <w:numPr>
          <w:ilvl w:val="0"/>
          <w:numId w:val="0"/>
        </w:numPr>
        <w:rPr>
          <w:lang w:val="en-GB"/>
        </w:rPr>
      </w:pPr>
    </w:p>
    <w:p w14:paraId="597075A5" w14:textId="77777777" w:rsidR="007F2421" w:rsidRPr="00DE2E00" w:rsidRDefault="007F2421" w:rsidP="000E4172">
      <w:pPr>
        <w:pStyle w:val="Heading2"/>
      </w:pPr>
      <w:r>
        <w:t xml:space="preserve">Der EWSA unterstützt die vorgeschlagene Einrichtung eines Europäischen Fonds für Wettbewerbsfähigkeit (ECF) und die Stärkung von Horizont Europa und befürwortet die in beiden Fällen vorgeschlagene deutlich höhere Mittelzuweisung als im derzeitigen MFR. Er fordert die beiden gesetzgebenden Organe und insbesondere den Rat der EU auf, in den bevorstehenden Verhandlungen an diesen ehrgeizigen Mittelzusagen festzuhalten. </w:t>
      </w:r>
    </w:p>
    <w:p w14:paraId="4A5E251D" w14:textId="77777777" w:rsidR="007F2421" w:rsidRPr="00DE2E00" w:rsidRDefault="007F2421" w:rsidP="000E4172">
      <w:pPr>
        <w:rPr>
          <w:lang w:val="en-GB"/>
        </w:rPr>
      </w:pPr>
    </w:p>
    <w:p w14:paraId="18C2B223" w14:textId="77777777" w:rsidR="007F2421" w:rsidRPr="00DE2E00" w:rsidRDefault="007F2421" w:rsidP="000E4172">
      <w:pPr>
        <w:pStyle w:val="Heading2"/>
      </w:pPr>
      <w:r>
        <w:t>Gleichzeitig kritisiert der EWSA, dass der ECF in erster Linie bestehende Programme konsolidiert und nur geringe neue öffentliche Mittel vorsieht, die zumeist an anderer Stelle im MFR vorhanden waren und nur übertragen wurden.</w:t>
      </w:r>
    </w:p>
    <w:p w14:paraId="0038B213" w14:textId="77777777" w:rsidR="007F2421" w:rsidRPr="00DE2E00" w:rsidRDefault="007F2421" w:rsidP="000E4172">
      <w:pPr>
        <w:rPr>
          <w:lang w:val="en-GB"/>
        </w:rPr>
      </w:pPr>
    </w:p>
    <w:p w14:paraId="1A142FB6" w14:textId="77777777" w:rsidR="007F2421" w:rsidRPr="00DE2E00" w:rsidRDefault="007F2421" w:rsidP="000E4172">
      <w:pPr>
        <w:pStyle w:val="Heading2"/>
      </w:pPr>
      <w:r>
        <w:t>Dieser Fonds sollte alle Arten von Unternehmen in der EU unterstützen, von großen Konzernen bis hin zu KMU und Unternehmen der Sozialwirtschaft. Allerdings begrüßt der EWSA auch, dass die Kommission die besonderen Herausforderungen berücksichtigt, mit denen KMU konfrontiert sind, und ihren Zugang zu EU-Mitteln fördert.</w:t>
      </w:r>
    </w:p>
    <w:p w14:paraId="1377246D" w14:textId="77777777" w:rsidR="007F2421" w:rsidRPr="00DE2E00" w:rsidRDefault="007F2421" w:rsidP="000E4172">
      <w:pPr>
        <w:rPr>
          <w:lang w:val="en-GB"/>
        </w:rPr>
      </w:pPr>
    </w:p>
    <w:p w14:paraId="5CBD1A22" w14:textId="77777777" w:rsidR="007F2421" w:rsidRPr="00DE2E00" w:rsidRDefault="007F2421" w:rsidP="000E4172">
      <w:pPr>
        <w:pStyle w:val="Heading2"/>
      </w:pPr>
      <w:r>
        <w:t>Der EWSA begrüßt die Bemühungen der Kommission, die Finanzierungsinstrumente für die Wettbewerbsfähigkeit zu vereinfachen und die Unternehmensförderung zu straffen. Das Ergebnis ist ein integriertes Finanzinstrumentarium, das alle Phasen von Investitionen – von Forschung und Innovation bis hin zu Entwicklung und Marketing – erfasst. In Bezug auf die Risikominderung weist der EWSA darauf hin, dass dies u. U. auch die öffentlichen Finanzen belasten könnten, und fordert daher Transparenz und finanzielle Solidität.</w:t>
      </w:r>
    </w:p>
    <w:p w14:paraId="5DA060A6" w14:textId="77777777" w:rsidR="007F2421" w:rsidRPr="00967366" w:rsidRDefault="007F2421" w:rsidP="000E4172">
      <w:pPr>
        <w:pStyle w:val="ListParagraph"/>
        <w:ind w:left="0"/>
      </w:pPr>
    </w:p>
    <w:p w14:paraId="6CA8AB99" w14:textId="77777777" w:rsidR="007F2421" w:rsidRPr="00DE2E00" w:rsidRDefault="007F2421" w:rsidP="000E4172">
      <w:pPr>
        <w:pStyle w:val="Heading2"/>
      </w:pPr>
      <w:r>
        <w:t>Er begrüßt auch die geplanten Synergien zwischen Horizont Europa und dem Fonds für Wettbewerbsfähigkeit, mit dem eine strategische Verbindung zwischen Forschung und Industrie hergestellt werden soll. Gleichzeitig fordert der EWSA die Kommission auf, klarere Leitlinien für die Steuerung des kombinierten Rahmens für die Wettbewerbsfähigkeit bereitzustellen, insbesondere im Hinblick auf die Finanzierungsprioritäten und die Zuweisung von Zuständigkeiten und Ressourcen.</w:t>
      </w:r>
    </w:p>
    <w:p w14:paraId="1DCC10FC" w14:textId="77777777" w:rsidR="007F2421" w:rsidRPr="00DE2E00" w:rsidRDefault="007F2421" w:rsidP="000E4172">
      <w:pPr>
        <w:rPr>
          <w:lang w:val="en-GB"/>
        </w:rPr>
      </w:pPr>
    </w:p>
    <w:p w14:paraId="38B44586" w14:textId="77777777" w:rsidR="007F2421" w:rsidRPr="00DE2E00" w:rsidRDefault="007F2421" w:rsidP="000E4172">
      <w:pPr>
        <w:pStyle w:val="Heading2"/>
      </w:pPr>
      <w:r>
        <w:t xml:space="preserve">Er unterstützt den Vorschlag der Kommission, einen Mechanismus für Aufstockungen für wichtige Vorhaben von gemeinsamem europäischem Interesse (IPCEI) einzuführen. Dies kann </w:t>
      </w:r>
      <w:r>
        <w:lastRenderedPageBreak/>
        <w:t>dazu beitragen, dass Unternehmen in der gesamten EU unabhängig von der Finanzkraft der Mitgliedstaaten einen gleichberechtigten Zugang zu Finanzmitteln erhalten.</w:t>
      </w:r>
    </w:p>
    <w:p w14:paraId="76DC056F" w14:textId="77777777" w:rsidR="007F2421" w:rsidRPr="00DE2E00" w:rsidRDefault="007F2421" w:rsidP="000E4172">
      <w:pPr>
        <w:rPr>
          <w:lang w:val="en-GB"/>
        </w:rPr>
      </w:pPr>
    </w:p>
    <w:p w14:paraId="71C978C5" w14:textId="77777777" w:rsidR="007F2421" w:rsidRPr="00DE2E00" w:rsidRDefault="007F2421" w:rsidP="000E4172">
      <w:pPr>
        <w:pStyle w:val="Heading2"/>
      </w:pPr>
      <w:r>
        <w:t>Ähnlich wie bei der Aufstockung für IPCEI sollte der Fonds für Wettbewerbsfähigkeit nach Auffassung des EWSA eine zusätzliche Kreditlinie zur Unterstützung nationaler Exportkreditagenturen umfassen, um für Unternehmen aus allen EU-Mitgliedstaaten möglichst gleiche Wettbewerbsbedingungen bei Investitionen in Hochrisikoländern sicherzustellen.</w:t>
      </w:r>
    </w:p>
    <w:p w14:paraId="592B0ABC" w14:textId="77777777" w:rsidR="007F2421" w:rsidRPr="00DE2E00" w:rsidRDefault="007F2421" w:rsidP="000E4172">
      <w:pPr>
        <w:rPr>
          <w:lang w:val="en-GB"/>
        </w:rPr>
      </w:pPr>
    </w:p>
    <w:p w14:paraId="6347C129" w14:textId="77777777" w:rsidR="007F2421" w:rsidRPr="00DE2E00" w:rsidRDefault="007F2421" w:rsidP="000E4172">
      <w:pPr>
        <w:pStyle w:val="Heading2"/>
      </w:pPr>
      <w:r>
        <w:t>Der EWSA stellt fest, dass der Fonds für Wettbewerbsfähigkeit von einem Strategischen Ausschuss der Interessenträger überwacht werden soll, der Leitlinien für die allgemeine Ausrichtung des Fonds und wichtige Investitionsbereiche vorgeben wird. Der EWSA fordert die beiden gesetzgebenden Organe nachdrücklich auf, eine Mitgliedschaft der Sozialpartner und der Zivilgesellschaft (unter Wahrung eines ausgewogenen Generationenverhältnisses) in diesem Ausschuss verbindlich vorzusehen, damit bei der strategischen Entscheidungsfindung die Interessen aus Gesellschaft, Arbeitnehmerkreisen und Wirtschaft ausgewogen vertreten sind.</w:t>
      </w:r>
    </w:p>
    <w:p w14:paraId="52CA2D31" w14:textId="77777777" w:rsidR="007F2421" w:rsidRPr="00967366" w:rsidRDefault="007F2421" w:rsidP="000E4172">
      <w:pPr>
        <w:pStyle w:val="ListParagraph"/>
        <w:ind w:left="0"/>
      </w:pPr>
    </w:p>
    <w:p w14:paraId="31348ED6" w14:textId="77777777" w:rsidR="007F2421" w:rsidRPr="00DE2E00" w:rsidRDefault="007F2421" w:rsidP="000E4172">
      <w:pPr>
        <w:pStyle w:val="Heading2"/>
      </w:pPr>
      <w:r>
        <w:t>Der EWSA betont, dass der Fonds für Wettbewerbsfähigkeit über alle Säulen hinweg eine ausgewogene Mittelausstattung aufweisen sollte. In Ermangelung genauer Kriterien für die Mittelzuweisung besteht jedoch die Gefahr, dass der von der NATO vereinbarte Anteil der Verteidigungsausgaben in Höhe von 5 % des BIP als Vorwand dienen könnte, ECF-Mittel für Projekte und Beschaffungen im Verteidigungsbereich statt in anderen Bereichen und Sektoren wie industrielle Produktion, Energie oder wissenschaftliche Forschung zu verwenden. Darüber hinaus fordert der EWSA von der Kommission mehr Informationen über den politischen und rechtlichen Inhalt des Konzepts der Europäischen Verteidigungsunion.</w:t>
      </w:r>
    </w:p>
    <w:p w14:paraId="48588002" w14:textId="77777777" w:rsidR="007F2421" w:rsidRPr="00DE2E00" w:rsidRDefault="007F2421" w:rsidP="000E4172">
      <w:pPr>
        <w:rPr>
          <w:lang w:val="en-GB"/>
        </w:rPr>
      </w:pPr>
    </w:p>
    <w:p w14:paraId="0633A585" w14:textId="77777777" w:rsidR="007F2421" w:rsidRPr="00DE2E00" w:rsidRDefault="007F2421" w:rsidP="000E4172">
      <w:pPr>
        <w:pStyle w:val="Heading2"/>
      </w:pPr>
      <w:r>
        <w:t>Der EWSA ist der Auffassung, dass die Europäische Kommission überwachen sollte, wie die Mittel aus dem Fonds für Wettbewerbsfähigkeit auf die Mitgliedstaaten aufgeteilt werden, und erforderlichenfalls in Abstimmung mit den nationalen Behörden die Interessenträger für die Nutzung einschlägiger Finanzierungsmöglichkeiten sensibilisieren sollte, um die Mittelinanspruchnahme zu erhöhen.</w:t>
      </w:r>
    </w:p>
    <w:p w14:paraId="06619C29" w14:textId="77777777" w:rsidR="007F2421" w:rsidRPr="00DE2E00" w:rsidRDefault="007F2421" w:rsidP="000E4172">
      <w:pPr>
        <w:rPr>
          <w:lang w:val="en-GB"/>
        </w:rPr>
      </w:pPr>
    </w:p>
    <w:p w14:paraId="69B09740" w14:textId="77777777" w:rsidR="007F2421" w:rsidRPr="00DE2E00" w:rsidRDefault="007F2421" w:rsidP="000E4172">
      <w:pPr>
        <w:pStyle w:val="Heading2"/>
      </w:pPr>
      <w:r>
        <w:t>Der EWSA begrüßt die vorgeschlagene Aufstockung der Mittel für die Fazilität „</w:t>
      </w:r>
      <w:proofErr w:type="spellStart"/>
      <w:r>
        <w:t>Connecting</w:t>
      </w:r>
      <w:proofErr w:type="spellEnd"/>
      <w:r>
        <w:t xml:space="preserve"> Europe“, insbesondere für Verkehrs- und Energieverbundnetze. Eine solche Vernetzung ist wichtig, um die multimodalen Verkehrsverbindungen innerhalb der EU (insbesondere in Ländern am Rand der EU) zu verbessern und die Energiepreise in der EU insgesamt zu senken sowie das Energiepreisgefälle zwischen den Mitgliedstaaten zu verringern.</w:t>
      </w:r>
    </w:p>
    <w:p w14:paraId="36A76198" w14:textId="77777777" w:rsidR="007F2421" w:rsidRPr="00DE2E00" w:rsidRDefault="007F2421" w:rsidP="000E4172">
      <w:pPr>
        <w:rPr>
          <w:lang w:val="en-GB"/>
        </w:rPr>
      </w:pPr>
    </w:p>
    <w:p w14:paraId="4E57DAE9" w14:textId="77777777" w:rsidR="007F2421" w:rsidRPr="00DE2E00" w:rsidRDefault="007F2421" w:rsidP="000E4172">
      <w:pPr>
        <w:pStyle w:val="Heading2"/>
      </w:pPr>
      <w:r>
        <w:t>Darüber hinaus begrüßt der EWSA, dass laut ECF-Verordnung Begünstigte Standorterhalts- und Beschäftigungsgarantien bieten und sich verpflichten müssen, ihre Geschäftstätigkeit oder Teile davon fünf Jahre lang nicht in Drittländer zu verlagern. Zur Stärkung der sozialen Dimension des ECF schlägt der EWSA vor, im Rahmen des ECF zusätzliche Anreize zu schaffen, damit Unternehmen in von hoher Arbeitslosigkeit oder Strukturwandel betroffenen Regionen oder in die Aus- und Weiterbindung ihrer Arbeitskräfte investieren.</w:t>
      </w:r>
    </w:p>
    <w:p w14:paraId="1B75FC8E" w14:textId="77777777" w:rsidR="007F2421" w:rsidRPr="00DE2E00" w:rsidRDefault="007F2421" w:rsidP="000E4172">
      <w:pPr>
        <w:rPr>
          <w:lang w:val="en-GB"/>
        </w:rPr>
      </w:pPr>
    </w:p>
    <w:p w14:paraId="18669A3F" w14:textId="77777777" w:rsidR="007F2421" w:rsidRPr="00DE2E00" w:rsidRDefault="007F2421" w:rsidP="000E4172">
      <w:pPr>
        <w:pStyle w:val="Heading2"/>
      </w:pPr>
      <w:r>
        <w:t xml:space="preserve">Der EWSA fordert die Kommission auf, in Rubrik 2 einen klaren Schwerpunkt auf die digitalen Kompetenzen junger Menschen zu legen. Angesichts der Krise im Bereich der psychischen </w:t>
      </w:r>
      <w:r>
        <w:lastRenderedPageBreak/>
        <w:t>Gesundheit junger Menschen sollten auch die psychische Gesundheit und das Wohlbefinden junger Menschen prioritäre Bereiche bilden, die im Rahmen des EU4Health-Programms nicht für die Prioritätensetzung herangezogen wurde.</w:t>
      </w:r>
    </w:p>
    <w:p w14:paraId="33382161" w14:textId="77777777" w:rsidR="007F2421" w:rsidRPr="00DE2E00" w:rsidRDefault="007F2421" w:rsidP="000E4172">
      <w:pPr>
        <w:rPr>
          <w:lang w:val="en-GB"/>
        </w:rPr>
      </w:pPr>
    </w:p>
    <w:p w14:paraId="0B654C73" w14:textId="77777777" w:rsidR="007F2421" w:rsidRPr="00DE2E00" w:rsidRDefault="007F2421" w:rsidP="000E4172">
      <w:pPr>
        <w:pStyle w:val="Heading1"/>
        <w:keepNext/>
      </w:pPr>
      <w:r>
        <w:rPr>
          <w:b/>
        </w:rPr>
        <w:t>Rubrik 3: Europa in der Welt</w:t>
      </w:r>
    </w:p>
    <w:p w14:paraId="483292D2" w14:textId="77777777" w:rsidR="007F2421" w:rsidRPr="00DE2E00" w:rsidRDefault="007F2421" w:rsidP="000E4172">
      <w:pPr>
        <w:keepNext/>
        <w:rPr>
          <w:lang w:val="en-GB"/>
        </w:rPr>
      </w:pPr>
    </w:p>
    <w:p w14:paraId="57376139" w14:textId="77777777" w:rsidR="007F2421" w:rsidRPr="00DE2E00" w:rsidRDefault="007F2421" w:rsidP="000E4172">
      <w:pPr>
        <w:pStyle w:val="Heading2"/>
      </w:pPr>
      <w:r>
        <w:t>Der EWSA begrüßt die konsequente Aufstockung der unter Rubrik 3 vorgesehen Mittel als positiven Schritt zur Stärkung des auswärtigen Handelns der EU. Dies ist zur Bewältigung der kommenden Herausforderungen von entscheidender Bedeutung, da es der EU die Möglichkeit gibt, ihre Rolle als globaler Akteur zu festigen, Multilateralismus, Dialog und Frieden zu fördern, ihre Import- und Exportmärkte zu diversifizieren und Regionen und Unternehmen in ihren entsprechenden Bemühungen zu unterstützen, die Ressourcen der EU für nachhaltiges internes Wachstum zu stärken und strategische Autonomie in den Bereichen Außenpolitik, Diplomatie, Sicherheit und Verteidigung aufzubauen.</w:t>
      </w:r>
    </w:p>
    <w:p w14:paraId="0299A6DF" w14:textId="77777777" w:rsidR="007F2421" w:rsidRPr="00DE2E00" w:rsidRDefault="007F2421" w:rsidP="000E4172">
      <w:pPr>
        <w:rPr>
          <w:lang w:val="en-GB"/>
        </w:rPr>
      </w:pPr>
    </w:p>
    <w:p w14:paraId="5BA36059" w14:textId="77777777" w:rsidR="007F2421" w:rsidRPr="00DE2E00" w:rsidRDefault="007F2421" w:rsidP="000E4172">
      <w:pPr>
        <w:pStyle w:val="Heading2"/>
      </w:pPr>
      <w:r>
        <w:t>Der EWSA ist der festen Überzeugung, dass die Global-Gateway-Strategie das zentrale Instrument für ein „multilaterales Europa“ werden sollte, das das Potenzial hat, die Vereinten Nationen und das System ihrer Organe und Sonderorganisationen neu zu beleben. Darüber hinaus sollte Europa als Reaktion auf die erheblichen Kürzungen und Umstrukturierungen bei der Behörde der Vereinigten Staaten für internationale Entwicklung (USAID) die Gelegenheit nutzen und als verlässlicher Partner eine führende Rolle in weltweiten Entwicklungspolitik und humanitären Hilfe übernehmen. Der EWSA warnt davor, dass diese globale strategische Ausrichtung Schaden nehmen könnte, wenn zu viel Gewicht auf die Regionalisierung gelegt wird. Vielmehr sollte die Global-Gateway-Strategie zu einem Katalysator für den Übergang von den derzeitigen Partnerschaften zu einer strategischen Allianz werden, in der sämtliche Interessenträger, einschließlich der Zivilgesellschaft und der Sozialpartner aller beteiligten Länder, einbezogen werden, um gemeinsam über Prioritäten, Ziele, Indikatoren und Projekte zu entscheiden.</w:t>
      </w:r>
    </w:p>
    <w:p w14:paraId="25B41E09" w14:textId="77777777" w:rsidR="007F2421" w:rsidRPr="00DE2E00" w:rsidRDefault="007F2421" w:rsidP="000E4172">
      <w:pPr>
        <w:rPr>
          <w:lang w:val="en-GB"/>
        </w:rPr>
      </w:pPr>
    </w:p>
    <w:p w14:paraId="09F118BD" w14:textId="77777777" w:rsidR="007F2421" w:rsidRPr="00DE2E00" w:rsidRDefault="007F2421" w:rsidP="000E4172">
      <w:pPr>
        <w:pStyle w:val="Heading2"/>
      </w:pPr>
      <w:r>
        <w:t>Der EWSA unterstützt den Ungleichheitsmarker der Kommission als wertvolles Instrument, das es ermöglicht, Ungleichheiten zu messen und zu bekämpfen sowie sicherzustellen, dass Entwicklungshilfe auch Wirkung entfaltet. Er fordert die Kommission auf, dies auf Global-Gateway-Projekte auszuweiten. Zu diesem Zweck muss ein bestimmter Prozentsatz von Projekten festgelegt werden, bei denen sowohl der Umverteilungseffekt als auch die sozialen Auswirkungen bewertet werden können, u. a. durch Konsultation und Beteiligung der betroffenen Regionen und Bevölkerungsgruppen.</w:t>
      </w:r>
    </w:p>
    <w:p w14:paraId="014EB97F" w14:textId="77777777" w:rsidR="007F2421" w:rsidRPr="00DE2E00" w:rsidRDefault="007F2421" w:rsidP="000E4172">
      <w:pPr>
        <w:rPr>
          <w:lang w:val="en-GB"/>
        </w:rPr>
      </w:pPr>
    </w:p>
    <w:p w14:paraId="442EDE68" w14:textId="77777777" w:rsidR="007F2421" w:rsidRPr="00DE2E00" w:rsidRDefault="007F2421" w:rsidP="000E4172">
      <w:pPr>
        <w:pStyle w:val="Heading2"/>
      </w:pPr>
      <w:r>
        <w:t>Der EWSA betont, dass zwischen Außenpolitik, handelspolitischen Maßnahmen und Handelsabkommen einerseits und dem Europäischem Fonds für Wettbewerbsfähigkeit andererseits Kohärenz hergestellt werden muss, damit alle Instrumente mit Blick auf die übergeordneten geopolitischen und wirtschaftlichen Ziele der EU aufeinander abgestimmt sind. Solche Synergien tragen zur Entwicklung eines kohärenten und strategischen Ansatzes bei, der die globale Position der EU stärkt und so zu nachhaltigem Wachstum und wirtschaftlicher Widerstandsfähigkeit führt.</w:t>
      </w:r>
    </w:p>
    <w:p w14:paraId="55170822" w14:textId="77777777" w:rsidR="007F2421" w:rsidRPr="00DE2E00" w:rsidRDefault="007F2421" w:rsidP="000E4172">
      <w:pPr>
        <w:rPr>
          <w:lang w:val="en-GB"/>
        </w:rPr>
      </w:pPr>
    </w:p>
    <w:p w14:paraId="6F9FE92C" w14:textId="77777777" w:rsidR="007F2421" w:rsidRPr="00DE2E00" w:rsidRDefault="007F2421" w:rsidP="000E4172">
      <w:pPr>
        <w:pStyle w:val="Heading2"/>
      </w:pPr>
      <w:r>
        <w:lastRenderedPageBreak/>
        <w:t>Der EWSA unterstützt alle Bestrebungen zur Vergrößerung des Wohlstands und der Sicherheit in unserer Nachbarschaft und damit auch innerhalb der EU. Nachdem der letzte Beitritt zur EU mehr als elf Jahre zurückliegt, muss Europa dem Erweiterungsprozess – seinem erfolgreichsten Friedensprojekt – nun erheblichen Schwung verleihen. Gleichzeitig betont der EWSA, dass der gesamte Prozess fortschrittsbasiert bleiben muss, wobei das übergeordnete Ziel darin besteht, in den neuen Mitgliedstaaten Demokratie, Rechtsstaatlichkeit und die Achtung der Grundwerte, einschließlich der sozialen und bürgerlichen Rechte, sicherzustellen. Die Unterstützung und Stärkung von Organisationen der Sozialpartner und zivilgesellschaftlichen Organisationen sowie eine stärkere Einbeziehung junger Menschen und Jugendorganisationen müssen sichergestellt werden.</w:t>
      </w:r>
    </w:p>
    <w:p w14:paraId="64C1419B" w14:textId="77777777" w:rsidR="007F2421" w:rsidRPr="00DE2E00" w:rsidRDefault="007F2421" w:rsidP="000E4172">
      <w:bookmarkStart w:id="0" w:name="_Hlk216365583"/>
    </w:p>
    <w:p w14:paraId="64FEC4A1" w14:textId="5FE7A01B" w:rsidR="007F2421" w:rsidRPr="00DE2E00" w:rsidRDefault="007F2421" w:rsidP="000E4172">
      <w:r>
        <w:t>Brüssel, den 22. Januar 2026</w:t>
      </w:r>
    </w:p>
    <w:p w14:paraId="1CCA2EDB" w14:textId="77777777" w:rsidR="007F2421" w:rsidRPr="00DE2E00" w:rsidRDefault="007F2421" w:rsidP="000E4172">
      <w:pPr>
        <w:rPr>
          <w:lang w:val="en-GB"/>
        </w:rPr>
      </w:pPr>
    </w:p>
    <w:bookmarkEnd w:id="0"/>
    <w:p w14:paraId="10A3F4AA" w14:textId="2470D2DF" w:rsidR="007F2421" w:rsidRPr="00DE2E00" w:rsidRDefault="007F2421" w:rsidP="000E4172">
      <w:pPr>
        <w:rPr>
          <w:lang w:val="en-GB"/>
        </w:rPr>
      </w:pPr>
    </w:p>
    <w:p w14:paraId="1E47976B" w14:textId="5A3B864E" w:rsidR="00401DE5" w:rsidRPr="00DE2E00" w:rsidRDefault="007F2421" w:rsidP="000E4172">
      <w:pPr>
        <w:jc w:val="left"/>
        <w:rPr>
          <w:i/>
          <w:iCs/>
        </w:rPr>
      </w:pPr>
      <w:r>
        <w:rPr>
          <w:i/>
        </w:rPr>
        <w:t>Der Präsident des Europäischen Wirtschafts- und Sozialausschusses</w:t>
      </w:r>
    </w:p>
    <w:p w14:paraId="4A5CF83B" w14:textId="3389E1F3" w:rsidR="00E2376B" w:rsidRPr="00DE2E00" w:rsidRDefault="00C40223" w:rsidP="000E4172">
      <w:pPr>
        <w:jc w:val="left"/>
      </w:pPr>
      <w:proofErr w:type="spellStart"/>
      <w:r>
        <w:t>Séamus</w:t>
      </w:r>
      <w:proofErr w:type="spellEnd"/>
      <w:r>
        <w:t xml:space="preserve"> BOLAND</w:t>
      </w:r>
    </w:p>
    <w:p w14:paraId="1E890363" w14:textId="77777777" w:rsidR="00DA2D12" w:rsidRPr="00DE2E00" w:rsidRDefault="00DA2D12" w:rsidP="000E4172">
      <w:pPr>
        <w:jc w:val="left"/>
        <w:rPr>
          <w:lang w:val="en-GB"/>
        </w:rPr>
      </w:pPr>
    </w:p>
    <w:p w14:paraId="6BABC1C7" w14:textId="77777777" w:rsidR="00F53370" w:rsidRPr="00967366" w:rsidRDefault="00E2376B" w:rsidP="000E4172">
      <w:pPr>
        <w:jc w:val="center"/>
      </w:pPr>
      <w:r>
        <w:t>_____________</w:t>
      </w:r>
    </w:p>
    <w:sectPr w:rsidR="00F53370" w:rsidRPr="00967366" w:rsidSect="001E74A1">
      <w:headerReference w:type="even" r:id="rId21"/>
      <w:headerReference w:type="default" r:id="rId22"/>
      <w:footerReference w:type="default" r:id="rId23"/>
      <w:headerReference w:type="first" r:id="rId24"/>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F39B0" w14:textId="77777777" w:rsidR="000F64CF" w:rsidRDefault="000F64CF" w:rsidP="00F53370">
      <w:pPr>
        <w:spacing w:line="240" w:lineRule="auto"/>
      </w:pPr>
      <w:r>
        <w:separator/>
      </w:r>
    </w:p>
  </w:endnote>
  <w:endnote w:type="continuationSeparator" w:id="0">
    <w:p w14:paraId="3125FFEE" w14:textId="77777777" w:rsidR="000F64CF" w:rsidRDefault="000F64CF"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1534" w14:textId="77777777" w:rsidR="00EB177F" w:rsidRDefault="00EB1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F522" w14:textId="77777777" w:rsidR="00EB177F" w:rsidRDefault="00EB1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60F4" w14:textId="77777777" w:rsidR="00EB177F" w:rsidRDefault="00EB17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50B6D818" w:rsidR="00767A42" w:rsidRPr="003065C9" w:rsidRDefault="00EB177F" w:rsidP="00EB177F">
    <w:pPr>
      <w:pStyle w:val="Footer"/>
      <w:jc w:val="left"/>
    </w:pPr>
    <w:r>
      <w:t xml:space="preserve">ECO/682 – EESC-2025-02245-00-00-AC-TRA (EN) </w:t>
    </w:r>
    <w:r>
      <w:fldChar w:fldCharType="begin"/>
    </w:r>
    <w:r>
      <w:instrText xml:space="preserve"> PAGE  \* Arabic  \* MERGEFORMAT </w:instrText>
    </w:r>
    <w:r>
      <w:fldChar w:fldCharType="separate"/>
    </w:r>
    <w:r>
      <w:t>1</w:t>
    </w:r>
    <w:r>
      <w:fldChar w:fldCharType="end"/>
    </w:r>
    <w:r>
      <w:t>/</w:t>
    </w:r>
    <w:r>
      <w:fldChar w:fldCharType="begin"/>
    </w:r>
    <w:r>
      <w:instrText xml:space="preserve"> = </w:instrText>
    </w:r>
    <w:fldSimple w:instr=" NUMPAGES ">
      <w:r w:rsidR="005415BA">
        <w:rPr>
          <w:noProof/>
        </w:rPr>
        <w:instrText>16</w:instrText>
      </w:r>
    </w:fldSimple>
    <w:r>
      <w:instrText xml:space="preserve"> - 2 </w:instrText>
    </w:r>
    <w:r>
      <w:fldChar w:fldCharType="separate"/>
    </w:r>
    <w:r w:rsidR="005415BA">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3B8F9" w14:textId="77777777" w:rsidR="000F64CF" w:rsidRDefault="000F64CF" w:rsidP="00F53370">
      <w:pPr>
        <w:spacing w:line="240" w:lineRule="auto"/>
      </w:pPr>
      <w:r>
        <w:separator/>
      </w:r>
    </w:p>
  </w:footnote>
  <w:footnote w:type="continuationSeparator" w:id="0">
    <w:p w14:paraId="3F602209" w14:textId="77777777" w:rsidR="000F64CF" w:rsidRDefault="000F64CF" w:rsidP="00F53370">
      <w:pPr>
        <w:spacing w:line="240" w:lineRule="auto"/>
      </w:pPr>
      <w:r>
        <w:continuationSeparator/>
      </w:r>
    </w:p>
  </w:footnote>
  <w:footnote w:id="1">
    <w:p w14:paraId="4A753CFC" w14:textId="77777777" w:rsidR="007F2421" w:rsidRPr="007D04E9" w:rsidRDefault="007F2421" w:rsidP="000E4172">
      <w:pPr>
        <w:pStyle w:val="FootnoteText"/>
        <w:spacing w:after="0"/>
      </w:pPr>
      <w:r>
        <w:rPr>
          <w:rStyle w:val="FootnoteReference"/>
        </w:rPr>
        <w:footnoteRef/>
      </w:r>
      <w:r>
        <w:tab/>
        <w:t>Europäischer Fonds für wirtschaftlichen, sozialen und territorialen Zusammenhalt, Landwirtschaft und den ländlichen Raum, Fischerei und Meere, Wohlstand und Sicherheit für den Zeitraum 2028-2034.</w:t>
      </w:r>
    </w:p>
  </w:footnote>
  <w:footnote w:id="2">
    <w:p w14:paraId="0EB17993" w14:textId="77777777" w:rsidR="007F2421" w:rsidRPr="007D04E9" w:rsidRDefault="007F2421" w:rsidP="000E4172">
      <w:pPr>
        <w:pStyle w:val="FootnoteText"/>
        <w:spacing w:after="0"/>
      </w:pPr>
      <w:r>
        <w:rPr>
          <w:rStyle w:val="FootnoteReference"/>
        </w:rPr>
        <w:footnoteRef/>
      </w:r>
      <w:r>
        <w:tab/>
        <w:t xml:space="preserve">Enrico Letta, „Much </w:t>
      </w:r>
      <w:proofErr w:type="spellStart"/>
      <w:r>
        <w:t>more</w:t>
      </w:r>
      <w:proofErr w:type="spellEnd"/>
      <w:r>
        <w:t xml:space="preserve"> </w:t>
      </w:r>
      <w:proofErr w:type="spellStart"/>
      <w:r>
        <w:t>than</w:t>
      </w:r>
      <w:proofErr w:type="spellEnd"/>
      <w:r>
        <w:t xml:space="preserve"> a </w:t>
      </w:r>
      <w:proofErr w:type="spellStart"/>
      <w:r>
        <w:t>market</w:t>
      </w:r>
      <w:proofErr w:type="spellEnd"/>
      <w:r>
        <w:t>“ (April 2024).</w:t>
      </w:r>
    </w:p>
  </w:footnote>
  <w:footnote w:id="3">
    <w:p w14:paraId="4991B0B4" w14:textId="77777777" w:rsidR="007F2421" w:rsidRPr="00AE6233" w:rsidRDefault="007F2421" w:rsidP="000E4172">
      <w:pPr>
        <w:pStyle w:val="FootnoteText"/>
        <w:spacing w:after="0"/>
      </w:pPr>
      <w:r>
        <w:rPr>
          <w:rStyle w:val="FootnoteReference"/>
        </w:rPr>
        <w:footnoteRef/>
      </w:r>
      <w:r>
        <w:tab/>
      </w:r>
      <w:proofErr w:type="spellStart"/>
      <w:r>
        <w:t>ABl.</w:t>
      </w:r>
      <w:proofErr w:type="spellEnd"/>
      <w:r>
        <w:t xml:space="preserve"> C, C/2025/3202, 2.7.2025, ELI: </w:t>
      </w:r>
      <w:hyperlink r:id="rId1" w:tgtFrame="_blank" w:tooltip="Zugriff auf das Dokument über die ELI-URL" w:history="1">
        <w:r>
          <w:rPr>
            <w:rStyle w:val="Hyperlink"/>
          </w:rPr>
          <w:t>http://data.europa.eu/eli/C/2025/3202/oj</w:t>
        </w:r>
      </w:hyperlink>
      <w:r>
        <w:t>.</w:t>
      </w:r>
    </w:p>
  </w:footnote>
  <w:footnote w:id="4">
    <w:p w14:paraId="7534BAFC" w14:textId="2632CE67" w:rsidR="007F2421" w:rsidRPr="00DE2E00" w:rsidRDefault="007F2421" w:rsidP="000E4172">
      <w:pPr>
        <w:pStyle w:val="FootnoteText"/>
        <w:spacing w:after="0"/>
      </w:pPr>
      <w:r>
        <w:rPr>
          <w:rStyle w:val="FootnoteReference"/>
        </w:rPr>
        <w:footnoteRef/>
      </w:r>
      <w:r>
        <w:tab/>
      </w:r>
      <w:proofErr w:type="spellStart"/>
      <w:r>
        <w:t>ABl.</w:t>
      </w:r>
      <w:proofErr w:type="spellEnd"/>
      <w:r>
        <w:t xml:space="preserve"> C, C/2026/8, 16.2.2025, ELI: </w:t>
      </w:r>
      <w:hyperlink r:id="rId2" w:history="1">
        <w:r>
          <w:rPr>
            <w:rStyle w:val="Hyperlink"/>
          </w:rPr>
          <w:t>http://data.europa.eu/eli/C/2026/8/oj</w:t>
        </w:r>
      </w:hyperlink>
      <w:r>
        <w:t>.</w:t>
      </w:r>
    </w:p>
  </w:footnote>
  <w:footnote w:id="5">
    <w:p w14:paraId="02F64E56" w14:textId="77777777" w:rsidR="007F2421" w:rsidRPr="00AE6233" w:rsidRDefault="007F2421" w:rsidP="000E4172">
      <w:pPr>
        <w:pStyle w:val="FootnoteText"/>
        <w:spacing w:after="0"/>
      </w:pPr>
      <w:r>
        <w:rPr>
          <w:rStyle w:val="FootnoteReference"/>
        </w:rPr>
        <w:footnoteRef/>
      </w:r>
      <w:r>
        <w:tab/>
      </w:r>
      <w:proofErr w:type="spellStart"/>
      <w:r>
        <w:t>ABl.</w:t>
      </w:r>
      <w:proofErr w:type="spellEnd"/>
      <w:r>
        <w:t xml:space="preserve"> C, C/2024/6862, 28.11.2024, ELI: </w:t>
      </w:r>
      <w:hyperlink r:id="rId3" w:tgtFrame="_blank" w:tooltip="Zugriff auf das Dokument über die ELI-URL" w:history="1">
        <w:r>
          <w:rPr>
            <w:rStyle w:val="Hyperlink"/>
          </w:rPr>
          <w:t>http://data.europa.eu/eli/C/2024/6862/oj</w:t>
        </w:r>
      </w:hyperlink>
      <w:r>
        <w:t>.</w:t>
      </w:r>
    </w:p>
  </w:footnote>
  <w:footnote w:id="6">
    <w:p w14:paraId="3E27E53A" w14:textId="77777777" w:rsidR="007F2421" w:rsidRPr="007D04E9" w:rsidRDefault="007F2421" w:rsidP="000E4172">
      <w:pPr>
        <w:pStyle w:val="FootnoteText"/>
        <w:spacing w:after="0"/>
      </w:pPr>
      <w:r>
        <w:rPr>
          <w:rStyle w:val="FootnoteReference"/>
        </w:rPr>
        <w:footnoteRef/>
      </w:r>
      <w:r>
        <w:tab/>
      </w:r>
      <w:hyperlink r:id="rId4" w:history="1">
        <w:r>
          <w:rPr>
            <w:rStyle w:val="Hyperlink"/>
          </w:rPr>
          <w:t>Https://commission.europa.eu/strategy-and-policy/eu-budget/long-term-eu-budget/eu-budget-2028-2034_en:</w:t>
        </w:r>
      </w:hyperlink>
      <w:r>
        <w:t>: Darlehen in Höhe von knapp 400 Mrd. EUR für die Mitgliedstaaten, die im Falle schwerer Krisen in der Union freigegeben werden.</w:t>
      </w:r>
    </w:p>
  </w:footnote>
  <w:footnote w:id="7">
    <w:p w14:paraId="1B91AD74" w14:textId="77777777" w:rsidR="007F2421" w:rsidRPr="007D04E9" w:rsidRDefault="007F2421" w:rsidP="000E4172">
      <w:pPr>
        <w:pStyle w:val="FootnoteText"/>
        <w:spacing w:after="0"/>
      </w:pPr>
      <w:r>
        <w:rPr>
          <w:rStyle w:val="FootnoteReference"/>
        </w:rPr>
        <w:footnoteRef/>
      </w:r>
      <w:r>
        <w:tab/>
        <w:t>Instrument für Sicherheitsmaßnahmen für Europa (SAFE).</w:t>
      </w:r>
    </w:p>
  </w:footnote>
  <w:footnote w:id="8">
    <w:p w14:paraId="3EB7FB48" w14:textId="77777777" w:rsidR="007F2421" w:rsidRPr="007D04E9" w:rsidRDefault="007F2421" w:rsidP="000E4172">
      <w:pPr>
        <w:pStyle w:val="FootnoteText"/>
        <w:spacing w:after="0"/>
      </w:pPr>
      <w:r>
        <w:rPr>
          <w:rStyle w:val="FootnoteReference"/>
        </w:rPr>
        <w:footnoteRef/>
      </w:r>
      <w:r>
        <w:tab/>
        <w:t>Danach führen die in den Anwendungsbereich fallenden Unternehmen, die in der EU tätig sind und verkaufen und einen jährlichen Nettoumsatz von über 100 Mio. EUR haben, einen jährlichen Pauschalbeitrag ab.</w:t>
      </w:r>
    </w:p>
  </w:footnote>
  <w:footnote w:id="9">
    <w:p w14:paraId="332FBF37" w14:textId="4D05962E" w:rsidR="007F2421" w:rsidRPr="00DE2E00" w:rsidRDefault="007F2421" w:rsidP="000E4172">
      <w:pPr>
        <w:pStyle w:val="FootnoteText"/>
        <w:spacing w:after="0"/>
      </w:pPr>
      <w:r>
        <w:rPr>
          <w:rStyle w:val="FootnoteReference"/>
        </w:rPr>
        <w:footnoteRef/>
      </w:r>
      <w:r>
        <w:tab/>
      </w:r>
      <w:proofErr w:type="spellStart"/>
      <w:r>
        <w:t>ABl.</w:t>
      </w:r>
      <w:proofErr w:type="spellEnd"/>
      <w:r>
        <w:t xml:space="preserve"> C, C/2026/12, 16.2.2025, ELI: </w:t>
      </w:r>
      <w:hyperlink r:id="rId5" w:history="1">
        <w:r>
          <w:rPr>
            <w:rStyle w:val="Hyperlink"/>
          </w:rPr>
          <w:t>http://data.europa.eu/eli/C/2026/12/oj</w:t>
        </w:r>
      </w:hyperlink>
      <w:r>
        <w:t>.</w:t>
      </w:r>
    </w:p>
  </w:footnote>
  <w:footnote w:id="10">
    <w:p w14:paraId="49C77473" w14:textId="14577455" w:rsidR="007F2421" w:rsidRPr="007D04E9" w:rsidRDefault="007F2421" w:rsidP="000E4172">
      <w:pPr>
        <w:pStyle w:val="FootnoteText"/>
        <w:spacing w:after="0"/>
      </w:pPr>
      <w:r>
        <w:rPr>
          <w:rStyle w:val="FootnoteReference"/>
        </w:rPr>
        <w:footnoteRef/>
      </w:r>
      <w:r>
        <w:tab/>
      </w:r>
      <w:proofErr w:type="spellStart"/>
      <w:r>
        <w:t>ABl.</w:t>
      </w:r>
      <w:proofErr w:type="spellEnd"/>
      <w:r>
        <w:t xml:space="preserve"> C, C/2026/15, 16.1.2026, ELI: </w:t>
      </w:r>
      <w:hyperlink r:id="rId6" w:history="1">
        <w:r>
          <w:rPr>
            <w:rStyle w:val="Hyperlink"/>
          </w:rPr>
          <w:t>http://data.europa.eu/eli/C/2026/15/oj</w:t>
        </w:r>
      </w:hyperlink>
      <w:r>
        <w:t xml:space="preserve">, </w:t>
      </w:r>
      <w:proofErr w:type="spellStart"/>
      <w:r>
        <w:t>ABl.</w:t>
      </w:r>
      <w:proofErr w:type="spellEnd"/>
      <w:r>
        <w:t xml:space="preserve"> C, C/2024/878, 6.2.2024, ELI: </w:t>
      </w:r>
      <w:hyperlink r:id="rId7" w:history="1">
        <w:r>
          <w:rPr>
            <w:rStyle w:val="Hyperlink"/>
          </w:rPr>
          <w:t>http://data.europa.eu/eli/C/2024/878/oj</w:t>
        </w:r>
      </w:hyperlink>
      <w:r>
        <w:t xml:space="preserve">, und die erneuerte </w:t>
      </w:r>
      <w:hyperlink r:id="rId8" w:history="1">
        <w:r>
          <w:rPr>
            <w:rStyle w:val="Hyperlink"/>
          </w:rPr>
          <w:t>Erklärung zum europäischen Blauen Deal.</w:t>
        </w:r>
      </w:hyperlink>
    </w:p>
  </w:footnote>
  <w:footnote w:id="11">
    <w:p w14:paraId="03CB46F5" w14:textId="77777777" w:rsidR="007F2421" w:rsidRPr="007D04E9" w:rsidRDefault="007F2421" w:rsidP="000E4172">
      <w:pPr>
        <w:pStyle w:val="FootnoteText"/>
        <w:spacing w:after="0"/>
      </w:pPr>
      <w:r>
        <w:rPr>
          <w:rStyle w:val="FootnoteReference"/>
        </w:rPr>
        <w:footnoteRef/>
      </w:r>
      <w:r>
        <w:tab/>
      </w:r>
      <w:hyperlink r:id="rId9" w:history="1">
        <w:proofErr w:type="spellStart"/>
        <w:r>
          <w:rPr>
            <w:rStyle w:val="Hyperlink"/>
            <w:i/>
          </w:rPr>
          <w:t>Forging</w:t>
        </w:r>
        <w:proofErr w:type="spellEnd"/>
        <w:r>
          <w:rPr>
            <w:rStyle w:val="Hyperlink"/>
            <w:i/>
          </w:rPr>
          <w:t xml:space="preserve"> a </w:t>
        </w:r>
        <w:proofErr w:type="spellStart"/>
        <w:r>
          <w:rPr>
            <w:rStyle w:val="Hyperlink"/>
            <w:i/>
          </w:rPr>
          <w:t>sustainable</w:t>
        </w:r>
        <w:proofErr w:type="spellEnd"/>
        <w:r>
          <w:rPr>
            <w:rStyle w:val="Hyperlink"/>
            <w:i/>
          </w:rPr>
          <w:t xml:space="preserve"> </w:t>
        </w:r>
        <w:proofErr w:type="spellStart"/>
        <w:r>
          <w:rPr>
            <w:rStyle w:val="Hyperlink"/>
            <w:i/>
          </w:rPr>
          <w:t>future</w:t>
        </w:r>
        <w:proofErr w:type="spellEnd"/>
        <w:r>
          <w:rPr>
            <w:rStyle w:val="Hyperlink"/>
            <w:i/>
          </w:rPr>
          <w:t xml:space="preserve"> </w:t>
        </w:r>
        <w:proofErr w:type="spellStart"/>
        <w:r>
          <w:rPr>
            <w:rStyle w:val="Hyperlink"/>
            <w:i/>
          </w:rPr>
          <w:t>together</w:t>
        </w:r>
        <w:proofErr w:type="spellEnd"/>
        <w:r>
          <w:rPr>
            <w:rStyle w:val="Hyperlink"/>
            <w:i/>
          </w:rPr>
          <w:t xml:space="preserve">: </w:t>
        </w:r>
        <w:proofErr w:type="spellStart"/>
        <w:r>
          <w:rPr>
            <w:rStyle w:val="Hyperlink"/>
            <w:i/>
          </w:rPr>
          <w:t>Cohesion</w:t>
        </w:r>
        <w:proofErr w:type="spellEnd"/>
        <w:r>
          <w:rPr>
            <w:rStyle w:val="Hyperlink"/>
            <w:i/>
          </w:rPr>
          <w:t xml:space="preserve"> Policy at </w:t>
        </w:r>
        <w:proofErr w:type="spellStart"/>
        <w:r>
          <w:rPr>
            <w:rStyle w:val="Hyperlink"/>
            <w:i/>
          </w:rPr>
          <w:t>its</w:t>
        </w:r>
        <w:proofErr w:type="spellEnd"/>
        <w:r>
          <w:rPr>
            <w:rStyle w:val="Hyperlink"/>
            <w:i/>
          </w:rPr>
          <w:t xml:space="preserve"> </w:t>
        </w:r>
        <w:proofErr w:type="spellStart"/>
        <w:r>
          <w:rPr>
            <w:rStyle w:val="Hyperlink"/>
            <w:i/>
          </w:rPr>
          <w:t>defining</w:t>
        </w:r>
        <w:proofErr w:type="spellEnd"/>
        <w:r>
          <w:rPr>
            <w:rStyle w:val="Hyperlink"/>
            <w:i/>
          </w:rPr>
          <w:t xml:space="preserve"> </w:t>
        </w:r>
        <w:proofErr w:type="spellStart"/>
        <w:r>
          <w:rPr>
            <w:rStyle w:val="Hyperlink"/>
            <w:i/>
          </w:rPr>
          <w:t>moment</w:t>
        </w:r>
        <w:proofErr w:type="spellEnd"/>
      </w:hyperlink>
      <w:r>
        <w:t>, Rodriguez-Pose, A. (2025).</w:t>
      </w:r>
    </w:p>
  </w:footnote>
  <w:footnote w:id="12">
    <w:p w14:paraId="286DDD0D" w14:textId="64AFE5D7" w:rsidR="007F2421" w:rsidRPr="007D04E9" w:rsidRDefault="007F2421" w:rsidP="000E4172">
      <w:pPr>
        <w:pStyle w:val="FootnoteText"/>
        <w:spacing w:after="0"/>
      </w:pPr>
      <w:r>
        <w:rPr>
          <w:rStyle w:val="FootnoteReference"/>
        </w:rPr>
        <w:footnoteRef/>
      </w:r>
      <w:r>
        <w:tab/>
        <w:t>Siehe Ziffer 1.6 der EWSA-Stellungnahme „</w:t>
      </w:r>
      <w:hyperlink r:id="rId10" w:history="1">
        <w:r>
          <w:rPr>
            <w:rStyle w:val="Hyperlink"/>
          </w:rPr>
          <w:t>Der Weg zum nächsten mehrjährigen Finanzrahmen</w:t>
        </w:r>
      </w:hyperlink>
      <w:r>
        <w:t>“ (</w:t>
      </w:r>
      <w:proofErr w:type="spellStart"/>
      <w:r>
        <w:t>ABl.</w:t>
      </w:r>
      <w:proofErr w:type="spellEnd"/>
      <w:r>
        <w:t xml:space="preserve"> C, C/2025/3202, 2.7.2025, ELI: </w:t>
      </w:r>
      <w:hyperlink r:id="rId11" w:history="1">
        <w:r>
          <w:rPr>
            <w:rStyle w:val="Hyperlink"/>
          </w:rPr>
          <w:t>http://data.europa.eu/eli/C/2025/3202/oj</w:t>
        </w:r>
      </w:hyperlink>
      <w:r>
        <w:t>) sowie Ziffern 1.3 und 1.4 der auf Ersuchen des polnischen Ratsvorsitzes erarbeiteten EWSA-Stellungnahme „</w:t>
      </w:r>
      <w:hyperlink r:id="rId12" w:history="1">
        <w:r>
          <w:rPr>
            <w:rStyle w:val="Hyperlink"/>
          </w:rPr>
          <w:t>Stärkung der Ergebnisorientierung der Kohäsionspolitik nach 2027 – Herausforderungen, Risiken und Chancen</w:t>
        </w:r>
      </w:hyperlink>
      <w:r>
        <w:t>“ (</w:t>
      </w:r>
      <w:proofErr w:type="spellStart"/>
      <w:r>
        <w:t>ABl.</w:t>
      </w:r>
      <w:proofErr w:type="spellEnd"/>
      <w:r>
        <w:t xml:space="preserve"> C, C/2025/2018, 30.4.2025, ELI: </w:t>
      </w:r>
      <w:hyperlink r:id="rId13" w:history="1">
        <w:r>
          <w:rPr>
            <w:rStyle w:val="Hyperlink"/>
          </w:rPr>
          <w:t>http://data.europa.eu/eli/C/2025/2018/oj</w:t>
        </w:r>
      </w:hyperlink>
      <w:r>
        <w:t>).</w:t>
      </w:r>
    </w:p>
  </w:footnote>
  <w:footnote w:id="13">
    <w:p w14:paraId="19C61078" w14:textId="77777777" w:rsidR="007F2421" w:rsidRPr="007D04E9" w:rsidRDefault="007F2421" w:rsidP="000E4172">
      <w:pPr>
        <w:pStyle w:val="FootnoteText"/>
        <w:spacing w:after="0"/>
      </w:pPr>
      <w:r>
        <w:rPr>
          <w:rStyle w:val="FootnoteReference"/>
        </w:rPr>
        <w:footnoteRef/>
      </w:r>
      <w:r>
        <w:tab/>
      </w:r>
      <w:hyperlink r:id="rId14" w:history="1">
        <w:r>
          <w:rPr>
            <w:rStyle w:val="Hyperlink"/>
          </w:rPr>
          <w:t>https://publications.jrc.ec.europa.eu/repository/handle/JRC140456</w:t>
        </w:r>
      </w:hyperlink>
      <w:r>
        <w:t>.</w:t>
      </w:r>
    </w:p>
  </w:footnote>
  <w:footnote w:id="14">
    <w:p w14:paraId="5E728FC7" w14:textId="77777777" w:rsidR="007F2421" w:rsidRPr="007D04E9" w:rsidRDefault="007F2421" w:rsidP="000E4172">
      <w:pPr>
        <w:pStyle w:val="FootnoteText"/>
        <w:spacing w:after="0"/>
      </w:pPr>
      <w:r>
        <w:rPr>
          <w:rStyle w:val="FootnoteReference"/>
        </w:rPr>
        <w:footnoteRef/>
      </w:r>
      <w:r>
        <w:tab/>
      </w:r>
      <w:hyperlink r:id="rId15" w:history="1">
        <w:r>
          <w:rPr>
            <w:rStyle w:val="Hyperlink"/>
          </w:rPr>
          <w:t xml:space="preserve">Gestaltung des Kontrollsystems der Kommission für die Aufbau- und </w:t>
        </w:r>
        <w:proofErr w:type="spellStart"/>
        <w:r>
          <w:rPr>
            <w:rStyle w:val="Hyperlink"/>
          </w:rPr>
          <w:t>Resilienzfazilität</w:t>
        </w:r>
        <w:proofErr w:type="spellEnd"/>
        <w:r>
          <w:rPr>
            <w:rStyle w:val="Hyperlink"/>
          </w:rPr>
          <w:t xml:space="preserve">, Sonderbericht Nr. 26/2023 des </w:t>
        </w:r>
        <w:proofErr w:type="spellStart"/>
        <w:r>
          <w:rPr>
            <w:rStyle w:val="Hyperlink"/>
          </w:rPr>
          <w:t>EuRH</w:t>
        </w:r>
        <w:proofErr w:type="spellEnd"/>
      </w:hyperlink>
      <w:r>
        <w:t>.</w:t>
      </w:r>
    </w:p>
  </w:footnote>
  <w:footnote w:id="15">
    <w:p w14:paraId="6C02AA5E" w14:textId="77777777" w:rsidR="007F2421" w:rsidRPr="007D04E9" w:rsidRDefault="007F2421" w:rsidP="000E4172">
      <w:pPr>
        <w:pStyle w:val="FootnoteText"/>
        <w:spacing w:after="0"/>
      </w:pPr>
      <w:r>
        <w:rPr>
          <w:rStyle w:val="FootnoteReference"/>
        </w:rPr>
        <w:footnoteRef/>
      </w:r>
      <w:r>
        <w:tab/>
      </w:r>
      <w:hyperlink r:id="rId16" w:history="1">
        <w:r>
          <w:rPr>
            <w:rStyle w:val="Hyperlink"/>
          </w:rPr>
          <w:t>Politische Leitlinien für die nächste Europäische Kommission 2024-2029</w:t>
        </w:r>
      </w:hyperlink>
      <w:r>
        <w:t>, vorgestellt von Ursula von der Leyen am 18.7.2024.</w:t>
      </w:r>
    </w:p>
  </w:footnote>
  <w:footnote w:id="16">
    <w:p w14:paraId="3D4ED9A0" w14:textId="77777777" w:rsidR="007F2421" w:rsidRPr="0014424C" w:rsidRDefault="007F2421" w:rsidP="000E4172">
      <w:pPr>
        <w:pStyle w:val="FootnoteText"/>
        <w:spacing w:after="0"/>
      </w:pPr>
      <w:r>
        <w:rPr>
          <w:rStyle w:val="FootnoteReference"/>
        </w:rPr>
        <w:footnoteRef/>
      </w:r>
      <w:r>
        <w:tab/>
      </w:r>
      <w:proofErr w:type="spellStart"/>
      <w:r>
        <w:t>ABl.</w:t>
      </w:r>
      <w:proofErr w:type="spellEnd"/>
      <w:r>
        <w:t xml:space="preserve"> C, C/2025/3194, 2.7.2025, ELI: </w:t>
      </w:r>
      <w:hyperlink r:id="rId17" w:tgtFrame="_blank" w:tooltip="Zugriff auf das Dokument über die ELI-URL" w:history="1">
        <w:r>
          <w:rPr>
            <w:rStyle w:val="Hyperlink"/>
          </w:rPr>
          <w:t>http://data.europa.eu/eli/C/2025/3194/oj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252CAFAF" w:rsidR="00574C9B" w:rsidRDefault="005415BA">
    <w:pPr>
      <w:pStyle w:val="Header"/>
    </w:pPr>
    <w:r>
      <w:pict w14:anchorId="3E5C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1036"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531F5E9B" w:rsidR="00574C9B" w:rsidRDefault="00231E1F">
    <w:pPr>
      <w:pStyle w:val="Header"/>
    </w:pPr>
    <w:r>
      <w:rPr>
        <w:noProof/>
      </w:rPr>
      <w:drawing>
        <wp:anchor distT="0" distB="0" distL="114300" distR="114300" simplePos="0" relativeHeight="251675648" behindDoc="0" locked="0" layoutInCell="1" allowOverlap="1" wp14:anchorId="27263D89" wp14:editId="39BE430F">
          <wp:simplePos x="0" y="0"/>
          <wp:positionH relativeFrom="page">
            <wp:align>center</wp:align>
          </wp:positionH>
          <wp:positionV relativeFrom="page">
            <wp:posOffset>288290</wp:posOffset>
          </wp:positionV>
          <wp:extent cx="6944360" cy="3343275"/>
          <wp:effectExtent l="0" t="0" r="8890" b="9525"/>
          <wp:wrapNone/>
          <wp:docPr id="1" name="Picture 1" title="EESCLogo2021_DE"/>
          <wp:cNvGraphicFramePr/>
          <a:graphic xmlns:a="http://schemas.openxmlformats.org/drawingml/2006/main">
            <a:graphicData uri="http://schemas.openxmlformats.org/drawingml/2006/picture">
              <pic:pic xmlns:pic="http://schemas.openxmlformats.org/drawingml/2006/picture">
                <pic:nvPicPr>
                  <pic:cNvPr id="1" name="Picture 1" title="EESCLogo2021_DE"/>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5415BA">
      <w:pict w14:anchorId="0292D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1037" type="#_x0000_t75" style="position:absolute;left:0;text-align:left;margin-left:0;margin-top:0;width:595.2pt;height:841.9pt;z-index:-251648000;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007EBCA1" w:rsidR="00574C9B" w:rsidRDefault="005415BA">
    <w:pPr>
      <w:pStyle w:val="Header"/>
    </w:pPr>
    <w:r>
      <w:pict w14:anchorId="19171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1035"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FEF32E3" w:rsidR="00574C9B" w:rsidRDefault="005415BA">
    <w:pPr>
      <w:pStyle w:val="Header"/>
    </w:pPr>
    <w:r>
      <w:pict w14:anchorId="16802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1039"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308D261F" w:rsidR="00574C9B" w:rsidRDefault="005415BA">
    <w:pPr>
      <w:pStyle w:val="Header"/>
    </w:pPr>
    <w:r>
      <w:pict w14:anchorId="31FC4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1040"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231E1F">
      <w:rPr>
        <w:noProof/>
      </w:rPr>
      <w:drawing>
        <wp:anchor distT="0" distB="0" distL="114300" distR="114300" simplePos="0" relativeHeight="251659264"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56798CB4" w:rsidR="00574C9B" w:rsidRDefault="005415BA">
    <w:pPr>
      <w:pStyle w:val="Header"/>
    </w:pPr>
    <w:r>
      <w:pict w14:anchorId="1017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1038"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AD5" w14:textId="60B66FCE" w:rsidR="004871B8" w:rsidRDefault="005415BA">
    <w:pPr>
      <w:pStyle w:val="Header"/>
    </w:pPr>
    <w:r>
      <w:pict w14:anchorId="51EC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1042"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43FA7B78" w:rsidR="00767A42" w:rsidRDefault="005415BA">
    <w:pPr>
      <w:pStyle w:val="Header"/>
    </w:pPr>
    <w:r>
      <w:pict w14:anchorId="7B5F8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1043"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F91" w14:textId="4DD3A706" w:rsidR="004871B8" w:rsidRDefault="005415BA">
    <w:pPr>
      <w:pStyle w:val="Header"/>
    </w:pPr>
    <w:r>
      <w:pict w14:anchorId="4BBB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1041"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045CF"/>
    <w:rsid w:val="00007166"/>
    <w:rsid w:val="00020389"/>
    <w:rsid w:val="00053D00"/>
    <w:rsid w:val="000A0F3B"/>
    <w:rsid w:val="000E4172"/>
    <w:rsid w:val="000E5E03"/>
    <w:rsid w:val="000F64CF"/>
    <w:rsid w:val="001119FD"/>
    <w:rsid w:val="00115651"/>
    <w:rsid w:val="00116536"/>
    <w:rsid w:val="00153981"/>
    <w:rsid w:val="00185E99"/>
    <w:rsid w:val="0019231D"/>
    <w:rsid w:val="001955B6"/>
    <w:rsid w:val="001A6116"/>
    <w:rsid w:val="001D61AC"/>
    <w:rsid w:val="001E15AA"/>
    <w:rsid w:val="001E3FA1"/>
    <w:rsid w:val="001E6EB8"/>
    <w:rsid w:val="00200E87"/>
    <w:rsid w:val="00206D14"/>
    <w:rsid w:val="00214BDC"/>
    <w:rsid w:val="00215E81"/>
    <w:rsid w:val="00231E1F"/>
    <w:rsid w:val="00235CE7"/>
    <w:rsid w:val="0024727F"/>
    <w:rsid w:val="00282E54"/>
    <w:rsid w:val="002B6A7B"/>
    <w:rsid w:val="002D29BF"/>
    <w:rsid w:val="003353D7"/>
    <w:rsid w:val="00351135"/>
    <w:rsid w:val="003659F9"/>
    <w:rsid w:val="003F6E1A"/>
    <w:rsid w:val="00401DE5"/>
    <w:rsid w:val="004051F7"/>
    <w:rsid w:val="00431504"/>
    <w:rsid w:val="0045106C"/>
    <w:rsid w:val="00461CAF"/>
    <w:rsid w:val="004871B8"/>
    <w:rsid w:val="00492082"/>
    <w:rsid w:val="004B41D3"/>
    <w:rsid w:val="004F3B80"/>
    <w:rsid w:val="00506D51"/>
    <w:rsid w:val="005415BA"/>
    <w:rsid w:val="00574C9B"/>
    <w:rsid w:val="0058411F"/>
    <w:rsid w:val="00593A8F"/>
    <w:rsid w:val="005961A4"/>
    <w:rsid w:val="005C530F"/>
    <w:rsid w:val="006125A1"/>
    <w:rsid w:val="00640C5D"/>
    <w:rsid w:val="00653E7D"/>
    <w:rsid w:val="00657599"/>
    <w:rsid w:val="00662207"/>
    <w:rsid w:val="00667F09"/>
    <w:rsid w:val="00686424"/>
    <w:rsid w:val="006B57A6"/>
    <w:rsid w:val="006C0EAF"/>
    <w:rsid w:val="006D53A6"/>
    <w:rsid w:val="00746BC2"/>
    <w:rsid w:val="00767A42"/>
    <w:rsid w:val="00787837"/>
    <w:rsid w:val="00787ABB"/>
    <w:rsid w:val="007B1355"/>
    <w:rsid w:val="007B2A10"/>
    <w:rsid w:val="007B6C64"/>
    <w:rsid w:val="007E60E4"/>
    <w:rsid w:val="007F2421"/>
    <w:rsid w:val="00822952"/>
    <w:rsid w:val="00831D2F"/>
    <w:rsid w:val="00836505"/>
    <w:rsid w:val="00837061"/>
    <w:rsid w:val="00844B87"/>
    <w:rsid w:val="00867C81"/>
    <w:rsid w:val="0089251B"/>
    <w:rsid w:val="008A6DD4"/>
    <w:rsid w:val="008F74D7"/>
    <w:rsid w:val="00904C42"/>
    <w:rsid w:val="00914683"/>
    <w:rsid w:val="00924C05"/>
    <w:rsid w:val="00937CF2"/>
    <w:rsid w:val="00967366"/>
    <w:rsid w:val="00976645"/>
    <w:rsid w:val="00976F77"/>
    <w:rsid w:val="0098228C"/>
    <w:rsid w:val="009832C7"/>
    <w:rsid w:val="009E2100"/>
    <w:rsid w:val="00A21F3B"/>
    <w:rsid w:val="00A310E1"/>
    <w:rsid w:val="00A36AB0"/>
    <w:rsid w:val="00AB37A3"/>
    <w:rsid w:val="00AB6D77"/>
    <w:rsid w:val="00AC5114"/>
    <w:rsid w:val="00B25683"/>
    <w:rsid w:val="00B35B72"/>
    <w:rsid w:val="00B51901"/>
    <w:rsid w:val="00B90DDF"/>
    <w:rsid w:val="00BC4FD4"/>
    <w:rsid w:val="00BD50F6"/>
    <w:rsid w:val="00BE3FEA"/>
    <w:rsid w:val="00C073E1"/>
    <w:rsid w:val="00C25647"/>
    <w:rsid w:val="00C27A3D"/>
    <w:rsid w:val="00C40223"/>
    <w:rsid w:val="00C66AEA"/>
    <w:rsid w:val="00C76BA9"/>
    <w:rsid w:val="00C9040A"/>
    <w:rsid w:val="00C91E4D"/>
    <w:rsid w:val="00CB110A"/>
    <w:rsid w:val="00CB7CD0"/>
    <w:rsid w:val="00D039AF"/>
    <w:rsid w:val="00D13128"/>
    <w:rsid w:val="00D66F5B"/>
    <w:rsid w:val="00D821E4"/>
    <w:rsid w:val="00D95232"/>
    <w:rsid w:val="00DA2D12"/>
    <w:rsid w:val="00DB7F50"/>
    <w:rsid w:val="00DE2E00"/>
    <w:rsid w:val="00DE2EE2"/>
    <w:rsid w:val="00DE30C7"/>
    <w:rsid w:val="00DF400F"/>
    <w:rsid w:val="00DF48E2"/>
    <w:rsid w:val="00E01983"/>
    <w:rsid w:val="00E15BF4"/>
    <w:rsid w:val="00E2376B"/>
    <w:rsid w:val="00E26935"/>
    <w:rsid w:val="00E27707"/>
    <w:rsid w:val="00E333C8"/>
    <w:rsid w:val="00E52B04"/>
    <w:rsid w:val="00E661B7"/>
    <w:rsid w:val="00E90A9D"/>
    <w:rsid w:val="00EB177F"/>
    <w:rsid w:val="00F2069F"/>
    <w:rsid w:val="00F334ED"/>
    <w:rsid w:val="00F51EF6"/>
    <w:rsid w:val="00F53370"/>
    <w:rsid w:val="00F90BE2"/>
    <w:rsid w:val="00FA18D8"/>
    <w:rsid w:val="00FB1D7A"/>
    <w:rsid w:val="00FC0CEA"/>
    <w:rsid w:val="00FE3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6F6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DGB_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uiPriority w:val="34"/>
    <w:qFormat/>
    <w:rsid w:val="007F2421"/>
    <w:pPr>
      <w:ind w:left="720"/>
      <w:contextualSpacing/>
    </w:pPr>
  </w:style>
  <w:style w:type="character" w:styleId="FollowedHyperlink">
    <w:name w:val="FollowedHyperlink"/>
    <w:basedOn w:val="DefaultParagraphFont"/>
    <w:uiPriority w:val="99"/>
    <w:semiHidden/>
    <w:unhideWhenUsed/>
    <w:rsid w:val="007B2A10"/>
    <w:rPr>
      <w:color w:val="954F72" w:themeColor="followedHyperlink"/>
      <w:u w:val="single"/>
    </w:rPr>
  </w:style>
  <w:style w:type="character" w:customStyle="1" w:styleId="UnresolvedMention1">
    <w:name w:val="Unresolved Mention1"/>
    <w:basedOn w:val="DefaultParagraphFont"/>
    <w:uiPriority w:val="99"/>
    <w:semiHidden/>
    <w:unhideWhenUsed/>
    <w:rsid w:val="007B2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8" Type="http://schemas.openxmlformats.org/officeDocument/2006/relationships/hyperlink" Target="https://www.eesc.europa.eu/de/our-work/publications-other-work/publications/renewed-declaration-eu-blue-deal" TargetMode="External"/><Relationship Id="rId13" Type="http://schemas.openxmlformats.org/officeDocument/2006/relationships/hyperlink" Target="http://data.europa.eu/eli/C/2025/2018/oj" TargetMode="External"/><Relationship Id="rId3" Type="http://schemas.openxmlformats.org/officeDocument/2006/relationships/hyperlink" Target="http://data.europa.eu/eli/C/2024/6862/oj" TargetMode="External"/><Relationship Id="rId7" Type="http://schemas.openxmlformats.org/officeDocument/2006/relationships/hyperlink" Target="http://data.europa.eu/eli/C/2024/878/oj" TargetMode="External"/><Relationship Id="rId12" Type="http://schemas.openxmlformats.org/officeDocument/2006/relationships/hyperlink" Target="https://www.eesc.europa.eu/de/our-work/opinions-information-reports/opinions/strengthening-results-orientation-post-2027-cohesion-policy-challenges-risks-and-opportunities" TargetMode="External"/><Relationship Id="rId17" Type="http://schemas.openxmlformats.org/officeDocument/2006/relationships/hyperlink" Target="http://data.europa.eu/eli/C/2025/3194/oj" TargetMode="External"/><Relationship Id="rId2" Type="http://schemas.openxmlformats.org/officeDocument/2006/relationships/hyperlink" Target="http://data.europa.eu/eli/C/2026/8/oj" TargetMode="External"/><Relationship Id="rId16" Type="http://schemas.openxmlformats.org/officeDocument/2006/relationships/hyperlink" Target="https://commission.europa.eu/document/download/e6cd4328-673c-4e7a-8683-f63ffb2cf648_de?filename=Political%20Guidelines%202024-2029_DE.pdf" TargetMode="External"/><Relationship Id="rId1" Type="http://schemas.openxmlformats.org/officeDocument/2006/relationships/hyperlink" Target="http://data.europa.eu/eli/C/2025/3202/oj" TargetMode="External"/><Relationship Id="rId6" Type="http://schemas.openxmlformats.org/officeDocument/2006/relationships/hyperlink" Target="http://data.europa.eu/eli/C/2026/15/oj" TargetMode="External"/><Relationship Id="rId11" Type="http://schemas.openxmlformats.org/officeDocument/2006/relationships/hyperlink" Target="http://data.europa.eu/eli/C/2025/3202/oj" TargetMode="External"/><Relationship Id="rId5" Type="http://schemas.openxmlformats.org/officeDocument/2006/relationships/hyperlink" Target="http://data.europa.eu/eli/C/2026/12/oj" TargetMode="External"/><Relationship Id="rId15" Type="http://schemas.openxmlformats.org/officeDocument/2006/relationships/hyperlink" Target="https://www.eca.europa.eu/ECAPublications/SR-2023-26/SR-2023-26_DE.pdf" TargetMode="External"/><Relationship Id="rId10" Type="http://schemas.openxmlformats.org/officeDocument/2006/relationships/hyperlink" Target="https://www.eesc.europa.eu/de/our-work/opinions-information-reports/opinions/road-next-multiannual-financial-framework" TargetMode="External"/><Relationship Id="rId4" Type="http://schemas.openxmlformats.org/officeDocument/2006/relationships/hyperlink" Target="https://commission.europa.eu/strategy-and-policy/eu-budget/long-term-eu-budget/eu-budget-2028-2034_en" TargetMode="External"/><Relationship Id="rId9" Type="http://schemas.openxmlformats.org/officeDocument/2006/relationships/hyperlink" Target="https://www.tandfonline.com/doi/full/10.1080/00343404.2025.2552869" TargetMode="External"/><Relationship Id="rId14" Type="http://schemas.openxmlformats.org/officeDocument/2006/relationships/hyperlink" Target="https://publications.jrc.ec.europa.eu/repository/handle/JRC1404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A6WAAD5KZT2Q-235352946-11218</_dlc_DocId>
    <_dlc_DocIdUrl xmlns="1a33af13-4045-4f88-9d7b-618e30f79918">
      <Url>http://dm/eesc/2025/_layouts/15/DocIdRedir.aspx?ID=A6WAAD5KZT2Q-235352946-11218</Url>
      <Description>A6WAAD5KZT2Q-235352946-11218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2026-01-26T12:00:00+00:00</ProductionDate>
    <DocumentNumber xmlns="a3e83899-37aa-47c6-ba54-4ea80e9c17cf">2245</DocumentNumber>
    <FicheYear xmlns="1a33af13-4045-4f88-9d7b-618e30f79918" xsi:nil="true"/>
    <DossierNumber xmlns="1a33af13-4045-4f88-9d7b-618e30f79918">682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79</Value>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15</Value>
      <Value>103</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DIAMANTOUROS &amp; BIEGON &amp; JAHIER</Rapporteur>
    <DocumentYear xmlns="1a33af13-4045-4f88-9d7b-618e30f79918">2025</DocumentYear>
    <FicheNumber xmlns="1a33af13-4045-4f88-9d7b-618e30f79918">296006</FicheNumber>
    <OriginalSender xmlns="1a33af13-4045-4f88-9d7b-618e30f79918">
      <UserInfo>
        <DisplayName>Nebert Susanne</DisplayName>
        <AccountId>1545</AccountId>
        <AccountType/>
      </UserInfo>
    </OriginalSender>
    <DocumentPart xmlns="1a33af13-4045-4f88-9d7b-618e30f79918">0</DocumentPart>
    <AdoptionDate xmlns="1a33af13-4045-4f88-9d7b-618e30f79918">2026-01-22T12:00:00+00:00</AdoptionDate>
    <RequestingService xmlns="1a33af13-4045-4f88-9d7b-618e30f79918">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0</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53B3C2-3B44-4947-9133-0F10CD09AC08}"/>
</file>

<file path=customXml/itemProps2.xml><?xml version="1.0" encoding="utf-8"?>
<ds:datastoreItem xmlns:ds="http://schemas.openxmlformats.org/officeDocument/2006/customXml" ds:itemID="{12C1FA58-3677-4CCD-9FBC-9DB319F5F890}">
  <ds:schemaRefs>
    <ds:schemaRef ds:uri="http://schemas.microsoft.com/office/2006/metadata/properties"/>
    <ds:schemaRef ds:uri="http://schemas.microsoft.com/office/infopath/2007/PartnerControls"/>
    <ds:schemaRef ds:uri="7f5f1cb4-0383-4061-857a-33cec58cd7c1"/>
    <ds:schemaRef ds:uri="http://schemas.microsoft.com/sharepoint/v3/fields"/>
    <ds:schemaRef ds:uri="c9ea33bc-6b33-4207-b3ed-ef4abb1c6b6d"/>
  </ds:schemaRefs>
</ds:datastoreItem>
</file>

<file path=customXml/itemProps3.xml><?xml version="1.0" encoding="utf-8"?>
<ds:datastoreItem xmlns:ds="http://schemas.openxmlformats.org/officeDocument/2006/customXml" ds:itemID="{CEF16B29-CBD7-4877-B71A-CCA5D35C9BC7}">
  <ds:schemaRefs>
    <ds:schemaRef ds:uri="http://schemas.microsoft.com/sharepoint/v3/contenttype/forms"/>
  </ds:schemaRefs>
</ds:datastoreItem>
</file>

<file path=customXml/itemProps4.xml><?xml version="1.0" encoding="utf-8"?>
<ds:datastoreItem xmlns:ds="http://schemas.openxmlformats.org/officeDocument/2006/customXml" ds:itemID="{6BFAB2CF-B1DF-4F74-AC46-04E40203F9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6334</Words>
  <Characters>36105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EESC AC - Model</vt:lpstr>
    </vt:vector>
  </TitlesOfParts>
  <Manager/>
  <Company/>
  <LinksUpToDate>false</LinksUpToDate>
  <CharactersWithSpaces>42355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Mehrjähriger Finanzrahmen 20282034</dc:title>
  <dc:subject>ADMIN</dc:subject>
  <dc:creator/>
  <cp:keywords>COR-EESC-2024-01326-10-00-ADMIN-TRA-EN</cp:keywords>
  <dc:description>Rapporteur:  - Original language: EN - Date of document: 18/04/2024 - Date of meeting:  - External documents:  - Administrator:  SUCIU Serban</dc:description>
  <cp:lastModifiedBy/>
  <cp:revision>7</cp:revision>
  <dcterms:created xsi:type="dcterms:W3CDTF">2026-01-23T08:18:00Z</dcterms:created>
  <dcterms:modified xsi:type="dcterms:W3CDTF">2026-01-26T07:53:00Z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23/01/2026, 17/04/2024, 12/04/2024, 17/05/2022</vt:lpwstr>
  </property>
  <property fmtid="{D5CDD505-2E9C-101B-9397-08002B2CF9AE}" pid="4" name="Pref_Time">
    <vt:lpwstr>09:16:29, 09:47:22, 11:43:34, 14:58:36</vt:lpwstr>
  </property>
  <property fmtid="{D5CDD505-2E9C-101B-9397-08002B2CF9AE}" pid="5" name="Pref_User">
    <vt:lpwstr>amett, enied, enied, enied</vt:lpwstr>
  </property>
  <property fmtid="{D5CDD505-2E9C-101B-9397-08002B2CF9AE}" pid="6" name="Pref_FileName">
    <vt:lpwstr>EESC-2025-02245-00-00-AC-TRA-EN-CRR.docx, COR-EESC-2024-01326-10-00-ADMIN-TRA-EN.docx, COR-EESC-2024-01326-10-00-ADMIN-ORI.docx, COR-EESC-2022-02592-00-00-ADMIN-ORI.docx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52861679-8562-46cb-8237-1ed0ffa64beb</vt:lpwstr>
  </property>
  <property fmtid="{D5CDD505-2E9C-101B-9397-08002B2CF9AE}" pid="9" name="AvailableTranslations">
    <vt:lpwstr>42;#EL|6d4f4d51-af9b-4650-94b4-4276bee85c91;#39;#LV|46f7e311-5d9f-4663-b433-18aeccb7ace7;#41;#ET|ff6c3f4c-b02c-4c3c-ab07-2c37995a7a0a;#23;#DE|f6b31e5a-26fa-4935-b661-318e46daf27e;#5;#EN|f2175f21-25d7-44a3-96da-d6a61b075e1b;#31;#SL|98a412ae-eb01-49e9-ae3d-585a81724cfc;#16;#ES|e7a6b05b-ae16-40c8-add9-68b64b03aeba;#50;#HR|2f555653-ed1a-4fe6-8362-9082d95989e5;#33;#PT|50ccc04a-eadd-42ae-a0cb-acaf45f812ba;#29;#CS|72f9705b-0217-4fd3-bea2-cbc7ed80e26e;#37;#HU|6b229040-c589-4408-b4c1-4285663d20a8;#24;#PL|1e03da61-4678-4e07-b136-b5024ca9197b;#35;#FI|87606a43-d45f-42d6-b8c9-e1a3457db5b7;#12;#FR|d2afafd3-4c81-4f60-8f52-ee33f2f54ff3;#32;#MT|7df99101-6854-4a26-b53a-b88c0da02c26;#28;#SV|c2ed69e7-a339-43d7-8f22-d93680a92aa0;#40;#DA|5d49c027-8956-412b-aa16-e85a0f96ad0e;#36;#RO|feb747a2-64cd-4299-af12-4833ddc30497;#34;#IT|0774613c-01ed-4e5d-a25d-11d2388de825;#30;#LT|a7ff5ce7-6123-4f68-865a-a57c31810414;#43;#GA|762d2456-c427-4ecb-b312-af3dad8e258c;#47;#BG|1a1b3951-7821-4e6a-85f5-5673fc08bd2c;#46;#SK|46d9fce0-ef79-4f71-b89b-cd6aa82426b8;#27;#NL|55c6556c-b4f4-441d-9acf-c498d4f838bd</vt:lpwstr>
  </property>
  <property fmtid="{D5CDD505-2E9C-101B-9397-08002B2CF9AE}" pid="10" name="DocumentType_0">
    <vt:lpwstr>AC|a4cc1d15-fb08-4679-ad46-e4e0cba5fe92</vt:lpwstr>
  </property>
  <property fmtid="{D5CDD505-2E9C-101B-9397-08002B2CF9AE}" pid="11" name="DocumentSource_0">
    <vt:lpwstr>EESC|422833ec-8d7e-4e65-8e4e-8bed07ffb729</vt:lpwstr>
  </property>
  <property fmtid="{D5CDD505-2E9C-101B-9397-08002B2CF9AE}" pid="12" name="ProductionDate">
    <vt:filetime>2024-04-17T12:00:00Z</vt:filetime>
  </property>
  <property fmtid="{D5CDD505-2E9C-101B-9397-08002B2CF9AE}" pid="13" name="DocumentNumber">
    <vt:i4>2245</vt:i4>
  </property>
  <property fmtid="{D5CDD505-2E9C-101B-9397-08002B2CF9AE}" pid="14" name="DossierName">
    <vt:lpwstr>103;#ECO|8df351f5-c957-404c-8cf3-8ffb22c9cba2</vt:lpwstr>
  </property>
  <property fmtid="{D5CDD505-2E9C-101B-9397-08002B2CF9AE}" pid="15" name="Confidentiality_0">
    <vt:lpwstr>Unrestricted|826e22d7-d029-4ec0-a450-0c28ff673572</vt:lpwstr>
  </property>
  <property fmtid="{D5CDD505-2E9C-101B-9397-08002B2CF9AE}" pid="16" name="Confidentiality">
    <vt:lpwstr>15;#Unrestricted|826e22d7-d029-4ec0-a450-0c28ff673572</vt:lpwstr>
  </property>
  <property fmtid="{D5CDD505-2E9C-101B-9397-08002B2CF9AE}" pid="17" name="OriginalLanguage">
    <vt:lpwstr>5;#EN|f2175f21-25d7-44a3-96da-d6a61b075e1b</vt:lpwstr>
  </property>
  <property fmtid="{D5CDD505-2E9C-101B-9397-08002B2CF9AE}" pid="18" name="MeetingName">
    <vt:lpwstr/>
  </property>
  <property fmtid="{D5CDD505-2E9C-101B-9397-08002B2CF9AE}" pid="19" name="TaxCatchAll">
    <vt:lpwstr>34;#IT|0774613c-01ed-4e5d-a25d-11d2388de825;#31;#SL|98a412ae-eb01-49e9-ae3d-585a81724cfc;#103;#ECO|8df351f5-c957-404c-8cf3-8ffb22c9cba2;#79;#AC|a4cc1d15-fb08-4679-ad46-e4e0cba5fe92;#15;#Unrestricted|826e22d7-d029-4ec0-a450-0c28ff673572;#13;#TRA|150d2a88-1431-44e6-a8ca-0bb753ab8672;#12;#FR|d2afafd3-4c81-4f60-8f52-ee33f2f54ff3;#46;#SK|46d9fce0-ef79-4f71-b89b-cd6aa82426b8;#8;#Final|ea5e6674-7b27-4bac-b091-73adbb394efe;#5;#EN|f2175f21-25d7-44a3-96da-d6a61b075e1b;#16;#ES|e7a6b05b-ae16-40c8-add9-68b64b03aeba;#1;#EESC|422833ec-8d7e-4e65-8e4e-8bed07ffb729</vt:lpwstr>
  </property>
  <property fmtid="{D5CDD505-2E9C-101B-9397-08002B2CF9AE}" pid="20" name="DocumentLanguage_0">
    <vt:lpwstr>EN|f2175f21-25d7-44a3-96da-d6a61b075e1b</vt:lpwstr>
  </property>
  <property fmtid="{D5CDD505-2E9C-101B-9397-08002B2CF9AE}" pid="21" name="VersionStatus_0">
    <vt:lpwstr>Final|ea5e6674-7b27-4bac-b091-73adbb394efe</vt:lpwstr>
  </property>
  <property fmtid="{D5CDD505-2E9C-101B-9397-08002B2CF9AE}" pid="22" name="VersionStatus">
    <vt:lpwstr>8;#Final|ea5e6674-7b27-4bac-b091-73adbb394efe</vt:lpwstr>
  </property>
  <property fmtid="{D5CDD505-2E9C-101B-9397-08002B2CF9AE}" pid="23" name="DocumentYear">
    <vt:i4>2025</vt:i4>
  </property>
  <property fmtid="{D5CDD505-2E9C-101B-9397-08002B2CF9AE}" pid="24" name="FicheNumber">
    <vt:i4>296006</vt:i4>
  </property>
  <property fmtid="{D5CDD505-2E9C-101B-9397-08002B2CF9AE}" pid="25" name="OriginalSender">
    <vt:lpwstr>51;#Nieddu Emma</vt:lpwstr>
  </property>
  <property fmtid="{D5CDD505-2E9C-101B-9397-08002B2CF9AE}" pid="26" name="DocumentType">
    <vt:lpwstr>79;#AC|a4cc1d15-fb08-4679-ad46-e4e0cba5fe92</vt:lpwstr>
  </property>
  <property fmtid="{D5CDD505-2E9C-101B-9397-08002B2CF9AE}" pid="27" name="DocumentPart">
    <vt:i4>0</vt:i4>
  </property>
  <property fmtid="{D5CDD505-2E9C-101B-9397-08002B2CF9AE}" pid="28" name="DocumentSource">
    <vt:lpwstr>1;#EESC|422833ec-8d7e-4e65-8e4e-8bed07ffb729</vt:lpwstr>
  </property>
  <property fmtid="{D5CDD505-2E9C-101B-9397-08002B2CF9AE}" pid="29" name="RequestingService">
    <vt:lpwstr>Union économique et monétaire et cohésion économique et sociale</vt:lpwstr>
  </property>
  <property fmtid="{D5CDD505-2E9C-101B-9397-08002B2CF9AE}" pid="30" name="DocumentLanguage">
    <vt:lpwstr>23;#DE|f6b31e5a-26fa-4935-b661-318e46daf27e</vt:lpwstr>
  </property>
  <property fmtid="{D5CDD505-2E9C-101B-9397-08002B2CF9AE}" pid="31" name="AvailableTranslations_0">
    <vt:lpwstr>EN|f2175f21-25d7-44a3-96da-d6a61b075e1b;SL|98a412ae-eb01-49e9-ae3d-585a81724cfc;ES|e7a6b05b-ae16-40c8-add9-68b64b03aeba;FR|d2afafd3-4c81-4f60-8f52-ee33f2f54ff3;IT|0774613c-01ed-4e5d-a25d-11d2388de825;SK|46d9fce0-ef79-4f71-b89b-cd6aa82426b8</vt:lpwstr>
  </property>
  <property fmtid="{D5CDD505-2E9C-101B-9397-08002B2CF9AE}" pid="32" name="DocumentStatus_0">
    <vt:lpwstr>TRA|150d2a88-1431-44e6-a8ca-0bb753ab8672</vt:lpwstr>
  </property>
  <property fmtid="{D5CDD505-2E9C-101B-9397-08002B2CF9AE}" pid="33" name="OriginalLanguage_0">
    <vt:lpwstr>EN|f2175f21-25d7-44a3-96da-d6a61b075e1b</vt:lpwstr>
  </property>
  <property fmtid="{D5CDD505-2E9C-101B-9397-08002B2CF9AE}" pid="34" name="_docset_NoMedatataSyncRequired">
    <vt:lpwstr>False</vt:lpwstr>
  </property>
  <property fmtid="{D5CDD505-2E9C-101B-9397-08002B2CF9AE}" pid="35" name="DocumentVersion">
    <vt:i4>0</vt:i4>
  </property>
  <property fmtid="{D5CDD505-2E9C-101B-9397-08002B2CF9AE}" pid="36" name="DocumentStatus">
    <vt:lpwstr>13;#TRA|150d2a88-1431-44e6-a8ca-0bb753ab8672</vt:lpwstr>
  </property>
  <property fmtid="{D5CDD505-2E9C-101B-9397-08002B2CF9AE}" pid="37" name="MeetingName_0">
    <vt:lpwstr/>
  </property>
  <property fmtid="{D5CDD505-2E9C-101B-9397-08002B2CF9AE}" pid="38" name="DossierName_0">
    <vt:lpwstr>ECO|8df351f5-c957-404c-8cf3-8ffb22c9cba2</vt:lpwstr>
  </property>
  <property fmtid="{D5CDD505-2E9C-101B-9397-08002B2CF9AE}" pid="39" name="DossierNumber">
    <vt:i4>682</vt:i4>
  </property>
  <property fmtid="{D5CDD505-2E9C-101B-9397-08002B2CF9AE}" pid="41" name="Rapporteur">
    <vt:lpwstr>DIAMANTOUROS &amp; BIEGON &amp; JAHIER</vt:lpwstr>
  </property>
  <property fmtid="{D5CDD505-2E9C-101B-9397-08002B2CF9AE}" pid="42" name="AdoptionDate">
    <vt:filetime>2026-01-22T12:00:00Z</vt:filetime>
  </property>
</Properties>
</file>